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ascii="Carlito" w:hAnsi="Carlito" w:eastAsia="Carlito" w:cs="Carlito"/>
        </w:rPr>
        <w:t>The Relational Cell</w:t>
      </w:r>
    </w:p>
    <w:p>
      <w:pPr>
        <w:pStyle w:val="Subtitle"/>
      </w:pPr>
      <w:r>
        <w:rPr>
          <w:rFonts w:ascii="Carlito" w:hAnsi="Carlito" w:eastAsia="Carlito" w:cs="Carlito"/>
        </w:rPr>
        <w:t>Action from completion: quantum geometry, refinement, and the gauge–gravity parent</w:t>
      </w:r>
    </w:p>
    <w:p>
      <w:pPr>
        <w:pStyle w:val="Date"/>
      </w:pPr>
      <w:r>
        <w:rPr>
          <w:rFonts w:ascii="Noto Serif" w:hAnsi="Noto Serif" w:eastAsia="Noto Serif" w:cs="Noto Serif"/>
        </w:rPr>
        <w:t>Working paper v0.15 | August 2026</w:t>
      </w:r>
    </w:p>
    <w:p>
      <w:pPr>
        <w:pStyle w:val="Heading1"/>
        <w:keepNext/>
      </w:pPr>
      <w:r>
        <w:rPr>
          <w:rFonts w:ascii="Carlito" w:hAnsi="Carlito" w:eastAsia="Carlito" w:cs="Carlito"/>
        </w:rPr>
        <w:t>Abstract</w:t>
      </w:r>
    </w:p>
    <w:p>
      <w:pPr>
        <w:pStyle w:val="BodyText"/>
      </w:pPr>
      <w:r>
        <w:rPr>
          <w:rFonts w:ascii="Noto Serif" w:hAnsi="Noto Serif" w:eastAsia="Noto Serif" w:cs="Noto Serif"/>
        </w:rPr>
        <w:t>Version 0.15 moves the programme from closure spectra to action. Version 0.14 supplied the first two-dimensional completion complex, physical transport on its edges, curvature on its faces, exact refinement spectra, and a conditional topological branch. The missing object was the law assigning one composable phase and one dynamical cost to a lawful global completion.</w:t>
      </w:r>
    </w:p>
    <w:p>
      <w:pPr>
        <w:pStyle w:val="BodyText"/>
      </w:pPr>
      <w:r>
        <w:rPr>
          <w:rFonts w:ascii="Noto Serif" w:hAnsi="Noto Serif" w:eastAsia="Noto Serif" w:cs="Noto Serif"/>
        </w:rPr>
        <w:t>The central result is that positive completion cost and oriented comparison phase are the real and imaginary parts of one quantum geometric tensor. For a normalized relational carrier |ψ(λ)⟩,</w:t>
      </w:r>
    </w:p>
    <w:p>
      <w:pPr>
        <w:pStyle w:val="DisplayMath"/>
        <w:keepLines/>
        <w:widowControl/>
      </w:pPr>
      <w:r>
        <w:rPr>
          <w:rFonts w:ascii="STIX Math" w:hAnsi="STIX Math" w:eastAsia="STIX Math" w:cs="STIX Math"/>
        </w:rPr>
        <w:t>𝒬μν = ⟨∂μψ | (I−|ψ⟩⟨ψ|) | ∂νψ⟩ = gμν − (i/2)ℱμν.</w:t>
      </w:r>
    </w:p>
    <w:p>
      <w:pPr>
        <w:pStyle w:val="BodyText"/>
      </w:pPr>
      <w:r>
        <w:rPr>
          <w:rFonts w:ascii="Noto Serif" w:hAnsi="Noto Serif" w:eastAsia="Noto Serif" w:cs="Noto Serif"/>
        </w:rPr>
        <w:t>The metric g measures distinguishability and positive closure cost. The curvature ℱ measures the residual phase generated by comparison around a loop. In the minimal binary carrier,</w:t>
      </w:r>
    </w:p>
    <w:p>
      <w:pPr>
        <w:pStyle w:val="DisplayMath"/>
        <w:keepLines/>
        <w:widowControl/>
      </w:pPr>
      <w:r>
        <w:rPr>
          <w:rFonts w:ascii="STIX Math" w:hAnsi="STIX Math" w:eastAsia="STIX Math" w:cs="STIX Math"/>
        </w:rPr>
        <w:t>det g = (ℱ₁₂/2)²,      ∫Σ √det g d²λ ≥ π|c₁|.</w:t>
      </w:r>
    </w:p>
    <w:p>
      <w:pPr>
        <w:pStyle w:val="BodyText"/>
      </w:pPr>
      <w:r>
        <w:rPr>
          <w:rFonts w:ascii="Noto Serif" w:hAnsi="Noto Serif" w:eastAsia="Noto Serif" w:cs="Noto Serif"/>
        </w:rPr>
        <w:t>The local antipodal chord, the positive probability metric, Pancharatnam phase, Berry curvature, and topological action area are therefore one geometry at different scales. A Chern-three completion sector would carry both three net chiral zero modes and total action flux 3h; a realization that reproduces one and not the other cannot be the minimal binary branch.</w:t>
      </w:r>
    </w:p>
    <w:p>
      <w:pPr>
        <w:pStyle w:val="BodyText"/>
      </w:pPr>
      <w:r>
        <w:rPr>
          <w:rFonts w:ascii="Noto Serif" w:hAnsi="Noto Serif" w:eastAsia="Noto Serif" w:cs="Noto Serif"/>
        </w:rPr>
        <w:t>Composable processes admit one continuous phase character. If S is additive under succession and its physical image is multiplicative, then</w:t>
      </w:r>
    </w:p>
    <w:p>
      <w:pPr>
        <w:pStyle w:val="DisplayMath"/>
        <w:keepLines/>
        <w:widowControl/>
      </w:pPr>
      <w:r>
        <w:rPr>
          <w:rFonts w:ascii="STIX Math" w:hAnsi="STIX Math" w:eastAsia="STIX Math" w:cs="STIX Math"/>
        </w:rPr>
        <w:t>χ(S₁+S₂)=χ(S₁)χ(S₂)  ⇒  χ(S)=exp(iS/ℏ),      ker χ = hℤ,      h=2πℏ.</w:t>
      </w:r>
    </w:p>
    <w:p>
      <w:pPr>
        <w:pStyle w:val="BodyText"/>
      </w:pPr>
      <w:r>
        <w:rPr>
          <w:rFonts w:ascii="Noto Serif" w:hAnsi="Noto Serif" w:eastAsia="Noto Serif" w:cs="Noto Serif"/>
        </w:rPr>
        <w:t>Planck’s constant is action per radian of the universal process-phase circle. The theory need not derive its decimal value in human units. It must derive one common phase geometry for every interacting sector and the dimensionless ratios generated by its constitutive law.</w:t>
      </w:r>
    </w:p>
    <w:p>
      <w:pPr>
        <w:pStyle w:val="BodyText"/>
      </w:pPr>
      <w:r>
        <w:rPr>
          <w:rFonts w:ascii="Noto Serif" w:hAnsi="Noto Serif" w:eastAsia="Noto Serif" w:cs="Noto Serif"/>
        </w:rPr>
        <w:t>The dynamical parent is the duality between relational area B and curvature ℱ. Let IComp(B) be the Euclidean rate function measuring the cost or scarcity of completions carrying B. Then</w:t>
      </w:r>
    </w:p>
    <w:p>
      <w:pPr>
        <w:pStyle w:val="DisplayMath"/>
        <w:keepLines/>
        <w:widowControl/>
      </w:pPr>
      <w:r>
        <w:rPr>
          <w:rFonts w:ascii="STIX Math" w:hAnsi="STIX Math" w:eastAsia="STIX Math" w:cs="STIX Math"/>
        </w:rPr>
        <w:t>ℒeff(ℱ) = IComp* (ℱ) = supB [ ⟨B,ℱ⟩ − IComp(B) ].</w:t>
      </w:r>
    </w:p>
    <w:p>
      <w:pPr>
        <w:pStyle w:val="BodyText"/>
      </w:pPr>
      <w:r>
        <w:rPr>
          <w:rFonts w:ascii="Noto Serif" w:hAnsi="Noto Serif" w:eastAsia="Noto Serif" w:cs="Noto Serif"/>
        </w:rPr>
        <w:t>The corresponding first-order action is</w:t>
      </w:r>
    </w:p>
    <w:p>
      <w:pPr>
        <w:pStyle w:val="DisplayMath"/>
        <w:keepLines/>
        <w:widowControl/>
      </w:pPr>
      <w:r>
        <w:rPr>
          <w:rFonts w:ascii="STIX Math" w:hAnsi="STIX Math" w:eastAsia="STIX Math" w:cs="STIX Math"/>
        </w:rPr>
        <w:t>S[B,𝒜] = ∫M [ ⟨B∧𝔽[𝒜]⟩ − IComp(B) ] + Sdefect.</w:t>
      </w:r>
    </w:p>
    <w:p>
      <w:pPr>
        <w:pStyle w:val="BodyText"/>
      </w:pPr>
      <w:r>
        <w:rPr>
          <w:rFonts w:ascii="Noto Serif" w:hAnsi="Noto Serif" w:eastAsia="Noto Serif" w:cs="Noto Serif"/>
        </w:rPr>
        <w:t>A centre-neutral internal completion orbit with quadratic IComp gives Maxwell–Yang–Mills kinetics after B is eliminated. A nonzero simple-bivector orbit gives the Palatini–Plebanski gravitational branch. Gauge curvature is the second-order response of a renewable internal standard. Gravity is the first-order response of the relational area that constitutes support itself. The known actions are recovered as constitutive branches of one completion–curvature pairing.</w:t>
      </w:r>
    </w:p>
    <w:p>
      <w:pPr>
        <w:pStyle w:val="BodyText"/>
      </w:pPr>
      <w:r>
        <w:rPr>
          <w:rFonts w:ascii="Noto Serif" w:hAnsi="Noto Serif" w:eastAsia="Noto Serif" w:cs="Noto Serif"/>
        </w:rPr>
        <w:t>Exact refinement further restricts the internal branch. Face weights must compose by convolution under subdivision. A central weakly continuous semigroup has a character expansion; locality, isotropy, continuous paths, and a second-order generator select the group heat kernel. The Wilson cosine remains an exact finite mismatch and useful lattice action. The heat kernel is the refinement-stable face law.</w:t>
      </w:r>
    </w:p>
    <w:p>
      <w:pPr>
        <w:pStyle w:val="BodyText"/>
      </w:pPr>
      <w:r>
        <w:rPr>
          <w:rFonts w:ascii="Noto Serif" w:hAnsi="Noto Serif" w:eastAsia="Noto Serif" w:cs="Noto Serif"/>
        </w:rPr>
        <w:t>The principal unresolved theorem is now one assembly: autonomous completion must generate one Kähler relation geometry, one universal phase character, one refinement-stable completion kernel, and one B–ℱ constitutive duality. Global objecthood must then produce the cross-simplicity that turns local relational faces into one support geometry. Passing that theorem would render probability, action, gauge kinetics, and gravitational curvature as four reductions of one law.</w:t>
      </w:r>
    </w:p>
    <w:p>
      <w:pPr>
        <w:pStyle w:val="Heading1"/>
        <w:keepNext/>
      </w:pPr>
      <w:r>
        <w:rPr>
          <w:rFonts w:ascii="Carlito" w:hAnsi="Carlito" w:eastAsia="Carlito" w:cs="Carlito"/>
        </w:rPr>
        <w:t>The cell in one block</w:t>
      </w:r>
    </w:p>
    <w:p>
      <w:pPr>
        <w:pStyle w:val="DisplayMath"/>
        <w:keepLines/>
        <w:widowControl/>
      </w:pPr>
      <w:r>
        <w:rPr>
          <w:rFonts w:ascii="STIX Math" w:hAnsi="STIX Math" w:eastAsia="STIX Math" w:cs="STIX Math"/>
        </w:rPr>
        <w:t>e(δ)=½(1−eⁱᵟ),      r(δ)=½(1+eⁱᵟ),      Re(e r̄)=0,      |e|²+|r|²=1.</w:t>
      </w:r>
    </w:p>
    <w:p>
      <w:pPr>
        <w:pStyle w:val="DisplayMath"/>
        <w:keepLines/>
        <w:widowControl/>
      </w:pPr>
      <w:r>
        <w:rPr>
          <w:rFonts w:ascii="STIX Math" w:hAnsi="STIX Math" w:eastAsia="STIX Math" w:cs="STIX Math"/>
        </w:rPr>
        <w:t>𝒬μν=⟨∂μψ|(I−P)|∂νψ⟩=gμν−(i/2)ℱμν,      P=|ψ⟩⟨ψ|.</w:t>
      </w:r>
    </w:p>
    <w:p>
      <w:pPr>
        <w:pStyle w:val="DisplayMath"/>
        <w:keepLines/>
        <w:widowControl/>
      </w:pPr>
      <w:r>
        <w:rPr>
          <w:rFonts w:ascii="STIX Math" w:hAnsi="STIX Math" w:eastAsia="STIX Math" w:cs="STIX Math"/>
        </w:rPr>
        <w:t>χ(S)=exp(iS/ℏ),      h=2πℏ,      Amp(RB,RA)=∫Comp(RA→RB) exp(iS[Ω]/ℏ)dμ(Ω).</w:t>
      </w:r>
    </w:p>
    <w:p>
      <w:pPr>
        <w:pStyle w:val="DisplayMath"/>
        <w:keepLines/>
        <w:widowControl/>
      </w:pPr>
      <w:r>
        <w:rPr>
          <w:rFonts w:ascii="STIX Math" w:hAnsi="STIX Math" w:eastAsia="STIX Math" w:cs="STIX Math"/>
        </w:rPr>
        <w:t>ℒeff(ℱ)=supB[⟨B,ℱ⟩−IComp(B)],      S[B,𝒜]=∫[⟨B∧𝔽[𝒜]⟩−IComp(B)]+Sdefect.</w:t>
      </w:r>
    </w:p>
    <w:p>
      <w:pPr>
        <w:pStyle w:val="DisplayMath"/>
        <w:keepLines/>
        <w:widowControl/>
      </w:pPr>
      <w:r>
        <w:rPr>
          <w:rFonts w:ascii="STIX Math" w:hAnsi="STIX Math" w:eastAsia="STIX Math" w:cs="STIX Math"/>
        </w:rPr>
        <w:t>Iint(B)=½g²⟨B∧*B⟩  ⇒  Sint=−(1/2g²)∫⟨F∧*F⟩.</w:t>
      </w:r>
    </w:p>
    <w:p>
      <w:pPr>
        <w:pStyle w:val="DisplayMath"/>
        <w:keepLines/>
        <w:widowControl/>
      </w:pPr>
      <w:r>
        <w:t>B = *(e∧e)  ⇒  S_support ∝ ∫ B∧R.</w:t>
      </w:r>
    </w:p>
    <w:p>
      <w:pPr>
        <w:pStyle w:val="DisplayMath"/>
        <w:keepLines/>
        <w:widowControl/>
      </w:pPr>
      <w:r>
        <w:rPr>
          <w:rFonts w:ascii="STIX Math" w:hAnsi="STIX Math" w:eastAsia="STIX Math" w:cs="STIX Math"/>
        </w:rPr>
        <w:t>Wa+b=Wa*Wb,      Wa(H)=Σρ dρ e^(−aηρ) χρ(H),      ηρ∝C₂(ρ) in the local diffusive sector.</w:t>
      </w:r>
    </w:p>
    <w:p>
      <w:pPr>
        <w:pStyle w:val="DisplayMath"/>
        <w:keepLines/>
        <w:widowControl/>
      </w:pPr>
      <w:r>
        <w:rPr>
          <w:rFonts w:ascii="STIX Math" w:hAnsi="STIX Math" w:eastAsia="STIX Math" w:cs="STIX Math"/>
        </w:rPr>
        <w:t>c₁=(1/2π)∫Σℱ,      ∫Σℏℱ=h c₁,      c₁=±3  ⇒  action flux=±3h and index D=±3 (conditional).</w:t>
      </w:r>
    </w:p>
    <w:p>
      <w:pPr>
        <w:pStyle w:val="Heading1"/>
        <w:keepNext/>
      </w:pPr>
      <w:r>
        <w:rPr>
          <w:rFonts w:ascii="Carlito" w:hAnsi="Carlito" w:eastAsia="Carlito" w:cs="Carlito"/>
        </w:rPr>
        <w:t>1. What changes from v0.14</w:t>
      </w:r>
    </w:p>
    <w:p>
      <w:pPr>
        <w:pStyle w:val="BodyText"/>
      </w:pPr>
      <w:r>
        <w:rPr>
          <w:rFonts w:ascii="Noto Serif" w:hAnsi="Noto Serif" w:eastAsia="Noto Serif" w:cs="Noto Serif"/>
        </w:rPr>
        <w:t>Version 0.14 established a two-generator completion surface X=C₃×C₄. It derived its topology, covariant matter transport, mixed-face holonomy, flat connection spectrum, twisted closure witness, refinement limit, Wilson-loop transport identities, and the conditional Chern-three branch. It correctly kept support soldering, the Lorentzian action, physical mass scales, and the origin of the mixed-face quarter-turn open.</w:t>
      </w:r>
    </w:p>
    <w:p>
      <w:pPr>
        <w:pStyle w:val="BodyText"/>
      </w:pPr>
      <w:r>
        <w:rPr>
          <w:rFonts w:ascii="Noto Serif" w:hAnsi="Noto Serif" w:eastAsia="Noto Serif" w:cs="Noto Serif"/>
        </w:rPr>
        <w:t>The present version does not replace those results. It identifies the mathematical object that was split between them. The positive edge and face defects of v0.14 are metric data. The oriented loop phase is curvature data. Their common carrier is the projective geometry of a coherent relational state. The action principle is the rule by which that geometry assigns a composable phase and a constitutive cost to a globally lawful completion.</w:t>
      </w:r>
    </w:p>
    <w:p>
      <w:pPr>
        <w:pStyle w:val="BodyText"/>
      </w:pPr>
      <w:r>
        <w:rPr>
          <w:rFonts w:ascii="Noto Serif" w:hAnsi="Noto Serif" w:eastAsia="Noto Serif" w:cs="Noto Serif"/>
        </w:rPr>
        <w:t>The centre of the programme therefore changes from a selected finite action to a law of action generation:</w:t>
      </w:r>
    </w:p>
    <w:p>
      <w:pPr>
        <w:pStyle w:val="DisplayMath"/>
        <w:keepLines/>
        <w:widowControl/>
      </w:pPr>
      <w:r>
        <w:t>lawful completion → one quantum relation geometry → completion rate → effective Lagrangian.</w:t>
      </w:r>
    </w:p>
    <w:p>
      <w:pPr>
        <w:pStyle w:val="BodyText"/>
      </w:pPr>
      <w:r>
        <w:rPr>
          <w:rFonts w:ascii="Noto Serif" w:hAnsi="Noto Serif" w:eastAsia="Noto Serif" w:cs="Noto Serif"/>
        </w:rPr>
        <w:t>This is a structural consolidation, not a claim that the final action of nature has been obtained. The field content, comparison group, representations, completion measure, support soldering, coupling scales, and record calculus remain theorem targets.</w:t>
      </w:r>
    </w:p>
    <w:p>
      <w:pPr>
        <w:pStyle w:val="Heading1"/>
        <w:keepNext/>
      </w:pPr>
      <w:r>
        <w:rPr>
          <w:rFonts w:ascii="Carlito" w:hAnsi="Carlito" w:eastAsia="Carlito" w:cs="Carlito"/>
        </w:rPr>
        <w:t>2. The inherited relational unit</w:t>
      </w:r>
    </w:p>
    <w:p>
      <w:pPr>
        <w:pStyle w:val="Heading2"/>
        <w:keepNext/>
      </w:pPr>
      <w:r>
        <w:rPr>
          <w:rFonts w:ascii="Carlito" w:hAnsi="Carlito" w:eastAsia="Carlito" w:cs="Carlito"/>
        </w:rPr>
        <w:t>Predictive equivalence and renewable comparison</w:t>
      </w:r>
    </w:p>
    <w:p>
      <w:pPr>
        <w:pStyle w:val="BodyText"/>
      </w:pPr>
      <w:r>
        <w:rPr>
          <w:rFonts w:ascii="Noto Serif" w:hAnsi="Noto Serif" w:eastAsia="Noto Serif" w:cs="Noto Serif"/>
        </w:rPr>
        <w:t>A constituted centre is the family of distinctions it can enact, compare, and retain. Two complete preparations x and y are one state for centre C when every admissible future protocol produces the same accessible records:</w:t>
      </w:r>
    </w:p>
    <w:p>
      <w:pPr>
        <w:pStyle w:val="DisplayMath"/>
        <w:keepLines/>
        <w:widowControl/>
      </w:pPr>
      <w:r>
        <w:rPr>
          <w:rFonts w:ascii="STIX Math" w:hAnsi="STIX Math" w:eastAsia="STIX Math" w:cs="STIX Math"/>
        </w:rPr>
        <w:t>x ≈C y  ⇔  ℱC(x)=ℱC(y).</w:t>
      </w:r>
    </w:p>
    <w:p>
      <w:pPr>
        <w:pStyle w:val="BodyText"/>
      </w:pPr>
      <w:r>
        <w:rPr>
          <w:rFonts w:ascii="Noto Serif" w:hAnsi="Noto Serif" w:eastAsia="Noto Serif" w:cs="Noto Serif"/>
        </w:rPr>
        <w:t>A comparison is renewable when its complete use restores the comparator to the same predictive-equivalence class of future capacity. When the jointly generated internal comparison group closes compactly, Haar averaging produces a positive invariant metric. Recurrence of each operation separately is insufficient; the jointly generated sector must close.</w:t>
      </w:r>
    </w:p>
    <w:p>
      <w:pPr>
        <w:pStyle w:val="Heading2"/>
        <w:keepNext/>
      </w:pPr>
      <w:r>
        <w:rPr>
          <w:rFonts w:ascii="Carlito" w:hAnsi="Carlito" w:eastAsia="Carlito" w:cs="Carlito"/>
        </w:rPr>
        <w:t>The antipodal event</w:t>
      </w:r>
    </w:p>
    <w:p>
      <w:pPr>
        <w:pStyle w:val="BodyText"/>
      </w:pPr>
      <w:r>
        <w:rPr>
          <w:rFonts w:ascii="Noto Serif" w:hAnsi="Noto Serif" w:eastAsia="Noto Serif" w:cs="Noto Serif"/>
        </w:rPr>
        <w:t>Let z be a normalized phase carrier and let −z be its generated other. During an enacted step z→z′=eⁱᵟz, retain the old other before renewal. The old diameter splits into</w:t>
      </w:r>
    </w:p>
    <w:p>
      <w:pPr>
        <w:pStyle w:val="DisplayMath"/>
        <w:keepLines/>
        <w:widowControl/>
      </w:pPr>
      <w:r>
        <w:rPr>
          <w:rFonts w:ascii="STIX Math" w:hAnsi="STIX Math" w:eastAsia="STIX Math" w:cs="STIX Math"/>
        </w:rPr>
        <w:t>e(δ)=½(1−eⁱᵟ),      r(δ)=½(1+eⁱᵟ),      e+r=1.</w:t>
      </w:r>
    </w:p>
    <w:p>
      <w:pPr>
        <w:pStyle w:val="DisplayMath"/>
        <w:keepLines/>
        <w:widowControl/>
      </w:pPr>
      <w:r>
        <w:rPr>
          <w:rFonts w:ascii="STIX Math" w:hAnsi="STIX Math" w:eastAsia="STIX Math" w:cs="STIX Math"/>
        </w:rPr>
        <w:t>r=eⁱᵟ⁄²cos(δ/2),      e=−i eⁱᵟ⁄²sin(δ/2).</w:t>
      </w:r>
    </w:p>
    <w:p>
      <w:pPr>
        <w:pStyle w:val="DisplayMath"/>
        <w:keepLines/>
        <w:widowControl/>
      </w:pPr>
      <w:r>
        <w:rPr>
          <w:rFonts w:ascii="STIX Math" w:hAnsi="STIX Math" w:eastAsia="STIX Math" w:cs="STIX Math"/>
        </w:rPr>
        <w:t>Re(e r̄)=0,      |e|²+|r|²=1.</w:t>
      </w:r>
    </w:p>
    <w:p>
      <w:pPr>
        <w:pStyle w:val="BodyText"/>
      </w:pPr>
      <w:r>
        <w:rPr>
          <w:rFonts w:ascii="Noto Serif" w:hAnsi="Noto Serif" w:eastAsia="Noto Serif" w:cs="Noto Serif"/>
        </w:rPr>
        <w:t>The diameter makes enacted and remaining completion perpendicular. This is the finite local seed of the metric–symplectic split developed below. One physical clause remains inherited: lawful recombination must make the mathematical span of the two channels a complete coherent alternative carrier rather than only a decomposition of one event.</w:t>
      </w:r>
    </w:p>
    <w:p>
      <w:pPr>
        <w:pStyle w:val="Heading2"/>
        <w:keepNext/>
      </w:pPr>
      <w:r>
        <w:rPr>
          <w:rFonts w:ascii="Carlito" w:hAnsi="Carlito" w:eastAsia="Carlito" w:cs="Carlito"/>
        </w:rPr>
        <w:t>The two-generator completion surface</w:t>
      </w:r>
    </w:p>
    <w:p>
      <w:pPr>
        <w:pStyle w:val="BodyText"/>
      </w:pPr>
      <w:r>
        <w:rPr>
          <w:rFonts w:ascii="Noto Serif" w:hAnsi="Noto Serif" w:eastAsia="Noto Serif" w:cs="Noto Serif"/>
        </w:rPr>
        <w:t>The inherited action surface is</w:t>
      </w:r>
    </w:p>
    <w:p>
      <w:pPr>
        <w:pStyle w:val="DisplayMath"/>
        <w:keepLines/>
        <w:widowControl/>
      </w:pPr>
      <w:r>
        <w:rPr>
          <w:rFonts w:ascii="STIX Math" w:hAnsi="STIX Math" w:eastAsia="STIX Math" w:cs="STIX Math"/>
        </w:rPr>
        <w:t>X=C₃×C₄,      |V|=12,      |E|=24,      |F|=12,      (b₀,b₁,b₂)=(1,2,1).</w:t>
      </w:r>
    </w:p>
    <w:p>
      <w:pPr>
        <w:pStyle w:val="BodyText"/>
      </w:pPr>
      <w:r>
        <w:rPr>
          <w:rFonts w:ascii="Noto Serif" w:hAnsi="Noto Serif" w:eastAsia="Noto Serif" w:cs="Noto Serif"/>
        </w:rPr>
        <w:t>The diagonal twelve-step orbit is one compound path through this surface. The full complex carries two global cycles, mixed plaquette curvature, and one integrated two-dimensional flux class. Version 0.14 proved its flat two-holonomy spectrum and its scale-stable two-dimensional refinement under fixed local stiffness. Those results become the finite and continuum laboratories for the present action principle.</w:t>
      </w:r>
    </w:p>
    <w:p>
      <w:pPr>
        <w:pStyle w:val="Heading1"/>
        <w:keepNext/>
      </w:pPr>
      <w:r>
        <w:rPr>
          <w:rFonts w:ascii="Carlito" w:hAnsi="Carlito" w:eastAsia="Carlito" w:cs="Carlito"/>
        </w:rPr>
        <w:t>3. The universal process phase</w:t>
      </w:r>
    </w:p>
    <w:p>
      <w:pPr>
        <w:pStyle w:val="Heading2"/>
        <w:keepNext/>
      </w:pPr>
      <w:r>
        <w:rPr>
          <w:rFonts w:ascii="Carlito" w:hAnsi="Carlito" w:eastAsia="Carlito" w:cs="Carlito"/>
        </w:rPr>
        <w:t>Action as the additive lift of a composable phase</w:t>
      </w:r>
    </w:p>
    <w:p>
      <w:pPr>
        <w:pStyle w:val="BodyText"/>
      </w:pPr>
      <w:r>
        <w:rPr>
          <w:rFonts w:ascii="Noto Serif" w:hAnsi="Noto Serif" w:eastAsia="Noto Serif" w:cs="Noto Serif"/>
        </w:rPr>
        <w:t>Let Γ be a physical process. Assume it has a real additive lift S(Γ) and a phase χ(S) visible under composition:</w:t>
      </w:r>
    </w:p>
    <w:p>
      <w:pPr>
        <w:pStyle w:val="DisplayMath"/>
        <w:keepLines/>
        <w:widowControl/>
      </w:pPr>
      <w:r>
        <w:rPr>
          <w:rFonts w:ascii="STIX Math" w:hAnsi="STIX Math" w:eastAsia="STIX Math" w:cs="STIX Math"/>
        </w:rPr>
        <w:t>S(Γ₂∘Γ₁)=S(Γ₂)+S(Γ₁),      χ(S₁+S₂)=χ(S₁)χ(S₂).</w:t>
      </w:r>
    </w:p>
    <w:p>
      <w:pPr>
        <w:pStyle w:val="BodyText"/>
      </w:pPr>
      <w:r>
        <w:rPr>
          <w:rFonts w:ascii="Noto Serif" w:hAnsi="Noto Serif" w:eastAsia="Noto Serif" w:cs="Noto Serif"/>
        </w:rPr>
        <w:t>Every continuous character of the additive real line into U(1) has one scale a₀:</w:t>
      </w:r>
    </w:p>
    <w:p>
      <w:pPr>
        <w:pStyle w:val="DisplayMath"/>
        <w:keepLines/>
        <w:widowControl/>
      </w:pPr>
      <w:r>
        <w:rPr>
          <w:rFonts w:ascii="STIX Math" w:hAnsi="STIX Math" w:eastAsia="STIX Math" w:cs="STIX Math"/>
        </w:rPr>
        <w:t>χ(S)=exp(iS/a₀).</w:t>
      </w:r>
    </w:p>
    <w:p>
      <w:pPr>
        <w:pStyle w:val="BodyText"/>
      </w:pPr>
      <w:r>
        <w:rPr>
          <w:rFonts w:ascii="Noto Serif" w:hAnsi="Noto Serif" w:eastAsia="Noto Serif" w:cs="Noto Serif"/>
        </w:rPr>
        <w:t>Writing a₀=ℏ gives</w:t>
      </w:r>
    </w:p>
    <w:p>
      <w:pPr>
        <w:pStyle w:val="DisplayMath"/>
        <w:keepLines/>
        <w:widowControl/>
      </w:pPr>
      <w:r>
        <w:rPr>
          <w:rFonts w:ascii="STIX Math" w:hAnsi="STIX Math" w:eastAsia="STIX Math" w:cs="STIX Math"/>
        </w:rPr>
        <w:t>χ(S)=exp(iS/ℏ),      ker χ=2πℏℤ=hℤ.</w:t>
      </w:r>
    </w:p>
    <w:p>
      <w:pPr>
        <w:pStyle w:val="BodyText"/>
      </w:pPr>
      <w:r>
        <w:rPr>
          <w:rFonts w:ascii="Noto Serif" w:hAnsi="Noto Serif" w:eastAsia="Noto Serif" w:cs="Noto Serif"/>
        </w:rPr>
        <w:t>The physical invariant is the common action-phase circle. The numerical value assigned to ℏ depends on the units used to measure action. A foundational theory must derive one common character for all composable sectors and unit-independent ratios, not the SI decimal of h.</w:t>
      </w:r>
    </w:p>
    <w:p>
      <w:pPr>
        <w:pStyle w:val="Heading2"/>
        <w:keepNext/>
      </w:pPr>
      <w:r>
        <w:rPr>
          <w:rFonts w:ascii="Carlito" w:hAnsi="Carlito" w:eastAsia="Carlito" w:cs="Carlito"/>
        </w:rPr>
        <w:t>Temporal, spatial, and angular renewal</w:t>
      </w:r>
    </w:p>
    <w:p>
      <w:pPr>
        <w:pStyle w:val="BodyText"/>
      </w:pPr>
      <w:r>
        <w:rPr>
          <w:rFonts w:ascii="Noto Serif" w:hAnsi="Noto Serif" w:eastAsia="Noto Serif" w:cs="Noto Serif"/>
        </w:rPr>
        <w:t>For a local phase</w:t>
      </w:r>
    </w:p>
    <w:p>
      <w:pPr>
        <w:pStyle w:val="DisplayMath"/>
        <w:keepLines/>
        <w:widowControl/>
      </w:pPr>
      <w:r>
        <w:rPr>
          <w:rFonts w:ascii="STIX Math" w:hAnsi="STIX Math" w:eastAsia="STIX Math" w:cs="STIX Math"/>
        </w:rPr>
        <w:t>Θ(x,t)=k·x−ωt,      S=ℏΘ,</w:t>
      </w:r>
    </w:p>
    <w:p>
      <w:pPr>
        <w:pStyle w:val="BodyText"/>
      </w:pPr>
      <w:r>
        <w:rPr>
          <w:rFonts w:ascii="Noto Serif" w:hAnsi="Noto Serif" w:eastAsia="Noto Serif" w:cs="Noto Serif"/>
        </w:rPr>
        <w:t>the Hamilton principal one-form gives</w:t>
      </w:r>
    </w:p>
    <w:p>
      <w:pPr>
        <w:pStyle w:val="DisplayMath"/>
        <w:keepLines/>
        <w:widowControl/>
      </w:pPr>
      <w:r>
        <w:rPr>
          <w:rFonts w:ascii="STIX Math" w:hAnsi="STIX Math" w:eastAsia="STIX Math" w:cs="STIX Math"/>
        </w:rPr>
        <w:t>dS=p·dx−E dt,      p=ℏk,      E=ℏω.</w:t>
      </w:r>
    </w:p>
    <w:p>
      <w:pPr>
        <w:pStyle w:val="BodyText"/>
      </w:pPr>
      <w:r>
        <w:rPr>
          <w:rFonts w:ascii="Noto Serif" w:hAnsi="Noto Serif" w:eastAsia="Noto Serif" w:cs="Noto Serif"/>
        </w:rPr>
        <w:t>One temporal renewal ωT=2π gives ET=h. One spatial renewal kλ=2π gives pλ=h. Angular single-valuedness gives Lz=nℏ. These are restrictions of one compact process phase rather than independent quantization rules.</w:t>
      </w:r>
    </w:p>
    <w:p>
      <w:pPr>
        <w:pStyle w:val="Heading2"/>
        <w:keepNext/>
      </w:pPr>
      <w:r>
        <w:rPr>
          <w:rFonts w:ascii="Carlito" w:hAnsi="Carlito" w:eastAsia="Carlito" w:cs="Carlito"/>
        </w:rPr>
        <w:t>Universality as global objecthood</w:t>
      </w:r>
    </w:p>
    <w:p>
      <w:pPr>
        <w:pStyle w:val="BodyText"/>
      </w:pPr>
      <w:r>
        <w:rPr>
          <w:rFonts w:ascii="Noto Serif" w:hAnsi="Noto Serif" w:eastAsia="Noto Serif" w:cs="Noto Serif"/>
        </w:rPr>
        <w:t>Two interacting sectors with different private action circumferences cannot form one globally composable phase geometry. Universality of ℏ is therefore the action-level form of the one-space condition: every admissible process phase must be a restriction of one joined phase bundle. This statement is stronger than dimensional convention and weaker than a completed derivation of quantum dynamics.</w:t>
      </w:r>
    </w:p>
    <w:p>
      <w:pPr>
        <w:pStyle w:val="Heading1"/>
        <w:keepNext/>
      </w:pPr>
      <w:r>
        <w:rPr>
          <w:rFonts w:ascii="Carlito" w:hAnsi="Carlito" w:eastAsia="Carlito" w:cs="Carlito"/>
        </w:rPr>
        <w:t>4. The quantum geometric tensor of one relational carrier</w:t>
      </w:r>
    </w:p>
    <w:p>
      <w:pPr>
        <w:pStyle w:val="BodyText"/>
      </w:pPr>
      <w:r>
        <w:rPr>
          <w:rFonts w:ascii="Noto Serif" w:hAnsi="Noto Serif" w:eastAsia="Noto Serif" w:cs="Noto Serif"/>
        </w:rPr>
        <w:t>Let |ψ(λ)⟩ be a smooth normalized state of a coherent relational carrier. Put P=|ψ⟩⟨ψ| and define</w:t>
      </w:r>
    </w:p>
    <w:p>
      <w:pPr>
        <w:pStyle w:val="DisplayMath"/>
        <w:keepLines/>
        <w:widowControl/>
      </w:pPr>
      <w:r>
        <w:rPr>
          <w:rFonts w:ascii="STIX Math" w:hAnsi="STIX Math" w:eastAsia="STIX Math" w:cs="STIX Math"/>
        </w:rPr>
        <w:t>𝒬μν=⟨∂μψ|(I−P)|∂νψ⟩.</w:t>
      </w:r>
    </w:p>
    <w:p>
      <w:pPr>
        <w:pStyle w:val="BodyText"/>
      </w:pPr>
      <w:r>
        <w:rPr>
          <w:rFonts w:ascii="Noto Serif" w:hAnsi="Noto Serif" w:eastAsia="Noto Serif" w:cs="Noto Serif"/>
        </w:rPr>
        <w:t>Write</w:t>
      </w:r>
    </w:p>
    <w:p>
      <w:pPr>
        <w:pStyle w:val="DisplayMath"/>
        <w:keepLines/>
        <w:widowControl/>
      </w:pPr>
      <w:r>
        <w:rPr>
          <w:rFonts w:ascii="STIX Math" w:hAnsi="STIX Math" w:eastAsia="STIX Math" w:cs="STIX Math"/>
        </w:rPr>
        <w:t>𝒬μν=gμν−(i/2)ℱμν.</w:t>
      </w:r>
    </w:p>
    <w:p>
      <w:pPr>
        <w:pStyle w:val="BodyText"/>
      </w:pPr>
      <w:r>
        <w:rPr>
          <w:rFonts w:ascii="Noto Serif" w:hAnsi="Noto Serif" w:eastAsia="Noto Serif" w:cs="Noto Serif"/>
        </w:rPr>
        <w:t>The symmetric real part g is the Fubini–Study or quantum metric. The antisymmetric imaginary part ℱ is Berry curvature. The same relation geometry therefore assigns both positive distinguishability and oriented phase nonclosure.</w:t>
      </w:r>
    </w:p>
    <w:p>
      <w:pPr>
        <w:pStyle w:val="Heading2"/>
        <w:keepNext/>
      </w:pPr>
      <w:r>
        <w:rPr>
          <w:rFonts w:ascii="Carlito" w:hAnsi="Carlito" w:eastAsia="Carlito" w:cs="Carlito"/>
        </w:rPr>
        <w:t>Metric response</w:t>
      </w:r>
    </w:p>
    <w:p>
      <w:pPr>
        <w:pStyle w:val="DisplayMath"/>
        <w:keepLines/>
        <w:widowControl/>
      </w:pPr>
      <w:r>
        <w:rPr>
          <w:rFonts w:ascii="STIX Math" w:hAnsi="STIX Math" w:eastAsia="STIX Math" w:cs="STIX Math"/>
        </w:rPr>
        <w:t>1−|⟨ψ(λ)|ψ(λ+dλ)⟩|² = gμν dλμ dλν + O(|dλ|³).</w:t>
      </w:r>
    </w:p>
    <w:p>
      <w:pPr>
        <w:pStyle w:val="BodyText"/>
      </w:pPr>
      <w:r>
        <w:rPr>
          <w:rFonts w:ascii="Noto Serif" w:hAnsi="Noto Serif" w:eastAsia="Noto Serif" w:cs="Noto Serif"/>
        </w:rPr>
        <w:t>The local completion cost is the loss of overlap under an enacted change. The finite chord identity of the antipodal cell is the two-point version of this metric statement.</w:t>
      </w:r>
    </w:p>
    <w:p>
      <w:pPr>
        <w:pStyle w:val="Heading2"/>
        <w:keepNext/>
      </w:pPr>
      <w:r>
        <w:rPr>
          <w:rFonts w:ascii="Carlito" w:hAnsi="Carlito" w:eastAsia="Carlito" w:cs="Carlito"/>
        </w:rPr>
        <w:t>Phase response</w:t>
      </w:r>
    </w:p>
    <w:p>
      <w:pPr>
        <w:pStyle w:val="BodyText"/>
      </w:pPr>
      <w:r>
        <w:rPr>
          <w:rFonts w:ascii="Noto Serif" w:hAnsi="Noto Serif" w:eastAsia="Noto Serif" w:cs="Noto Serif"/>
        </w:rPr>
        <w:t>For a closed polygon of states, the Pancharatnam phase is</w:t>
      </w:r>
    </w:p>
    <w:p>
      <w:pPr>
        <w:pStyle w:val="DisplayMath"/>
        <w:keepLines/>
        <w:widowControl/>
      </w:pPr>
      <w:r>
        <w:rPr>
          <w:rFonts w:ascii="STIX Math" w:hAnsi="STIX Math" w:eastAsia="STIX Math" w:cs="STIX Math"/>
        </w:rPr>
        <w:t>exp(iΘC)=∏j ⟨ψj|ψj+1⟩ / |⟨ψj|ψj+1⟩| = exp(i∮C𝒜)=exp(i∫Σℱ).</w:t>
      </w:r>
    </w:p>
    <w:p>
      <w:pPr>
        <w:pStyle w:val="DisplayMath"/>
        <w:keepLines/>
        <w:widowControl/>
      </w:pPr>
      <w:r>
        <w:rPr>
          <w:rFonts w:ascii="STIX Math" w:hAnsi="STIX Math" w:eastAsia="STIX Math" w:cs="STIX Math"/>
        </w:rPr>
        <w:t>𝒜=−i⟨ψ|dψ⟩,      ℱ=d𝒜.</w:t>
      </w:r>
    </w:p>
    <w:p>
      <w:pPr>
        <w:pStyle w:val="BodyText"/>
      </w:pPr>
      <w:r>
        <w:rPr>
          <w:rFonts w:ascii="Noto Serif" w:hAnsi="Noto Serif" w:eastAsia="Noto Serif" w:cs="Noto Serif"/>
        </w:rPr>
        <w:t>No absolute local zero is required. Phase is the residual of comparison around a complete route. Pancharatnam’s polarization geometry and Berry’s adiabatic phase are established realizations of this structure [1–3].</w:t>
      </w:r>
    </w:p>
    <w:p>
      <w:pPr>
        <w:pStyle w:val="Heading2"/>
        <w:keepNext/>
      </w:pPr>
      <w:r>
        <w:rPr>
          <w:rFonts w:ascii="Carlito" w:hAnsi="Carlito" w:eastAsia="Carlito" w:cs="Carlito"/>
        </w:rPr>
        <w:t>The minimal binary identity</w:t>
      </w:r>
    </w:p>
    <w:p>
      <w:pPr>
        <w:pStyle w:val="BodyText"/>
      </w:pPr>
      <w:r>
        <w:rPr>
          <w:rFonts w:ascii="Noto Serif" w:hAnsi="Noto Serif" w:eastAsia="Noto Serif" w:cs="Noto Serif"/>
        </w:rPr>
        <w:t>For a two-real-dimensional parameter surface inside the minimal binary carrier, the complex tangent rank is one. Hence det𝒬=0 and</w:t>
      </w:r>
    </w:p>
    <w:p>
      <w:pPr>
        <w:pStyle w:val="DisplayMath"/>
        <w:keepLines/>
        <w:widowControl/>
      </w:pPr>
      <w:r>
        <w:rPr>
          <w:rFonts w:ascii="STIX Math" w:hAnsi="STIX Math" w:eastAsia="STIX Math" w:cs="STIX Math"/>
        </w:rPr>
        <w:t>det g=(ℱ₁₂/2)².</w:t>
      </w:r>
    </w:p>
    <w:p>
      <w:pPr>
        <w:pStyle w:val="BodyText"/>
      </w:pPr>
      <w:r>
        <w:rPr>
          <w:rFonts w:ascii="Noto Serif" w:hAnsi="Noto Serif" w:eastAsia="Noto Serif" w:cs="Noto Serif"/>
        </w:rPr>
        <w:t>For a larger carrier, positivity gives</w:t>
      </w:r>
    </w:p>
    <w:p>
      <w:pPr>
        <w:pStyle w:val="DisplayMath"/>
        <w:keepLines/>
        <w:widowControl/>
      </w:pPr>
      <w:r>
        <w:rPr>
          <w:rFonts w:ascii="STIX Math" w:hAnsi="STIX Math" w:eastAsia="STIX Math" w:cs="STIX Math"/>
        </w:rPr>
        <w:t>det g ≥ (ℱ₁₂/2)².</w:t>
      </w:r>
    </w:p>
    <w:p>
      <w:pPr>
        <w:pStyle w:val="BodyText"/>
      </w:pPr>
      <w:r>
        <w:rPr>
          <w:rFonts w:ascii="Noto Serif" w:hAnsi="Noto Serif" w:eastAsia="Noto Serif" w:cs="Noto Serif"/>
        </w:rPr>
        <w:t>The equality is a parameter-free completeness test. Strict inequality means that additional channels or a higher-dimensional embedding contribute to positive distance without contributing to the selected two-form curvature.</w:t>
      </w:r>
    </w:p>
    <w:p>
      <w:pPr>
        <w:pStyle w:val="Heading2"/>
        <w:keepNext/>
      </w:pPr>
      <w:r>
        <w:rPr>
          <w:rFonts w:ascii="Carlito" w:hAnsi="Carlito" w:eastAsia="Carlito" w:cs="Carlito"/>
        </w:rPr>
        <w:t>Topological metric bound</w:t>
      </w:r>
    </w:p>
    <w:p>
      <w:pPr>
        <w:pStyle w:val="BodyText"/>
      </w:pPr>
      <w:r>
        <w:rPr>
          <w:rFonts w:ascii="Noto Serif" w:hAnsi="Noto Serif" w:eastAsia="Noto Serif" w:cs="Noto Serif"/>
        </w:rPr>
        <w:t>Integrating over an oriented closed surface gives</w:t>
      </w:r>
    </w:p>
    <w:p>
      <w:pPr>
        <w:pStyle w:val="DisplayMath"/>
        <w:keepLines/>
        <w:widowControl/>
      </w:pPr>
      <w:r>
        <w:rPr>
          <w:rFonts w:ascii="STIX Math" w:hAnsi="STIX Math" w:eastAsia="STIX Math" w:cs="STIX Math"/>
        </w:rPr>
        <w:t>∫Σ√det g d²λ ≥ ½∫Σ|ℱ| ≥ π|c₁|,      c₁=(1/2π)∫Σℱ.</w:t>
      </w:r>
    </w:p>
    <w:p>
      <w:pPr>
        <w:pStyle w:val="BodyText"/>
      </w:pPr>
      <w:r>
        <w:rPr>
          <w:rFonts w:ascii="Noto Serif" w:hAnsi="Noto Serif" w:eastAsia="Noto Serif" w:cs="Noto Serif"/>
        </w:rPr>
        <w:t>If the orientation is coherent and the realization remains minimally binary, equality holds. A Chern-three branch must therefore carry completion area 3π and action flux</w:t>
      </w:r>
    </w:p>
    <w:p>
      <w:pPr>
        <w:pStyle w:val="DisplayMath"/>
        <w:keepLines/>
        <w:widowControl/>
      </w:pPr>
      <w:r>
        <w:rPr>
          <w:rFonts w:ascii="STIX Math" w:hAnsi="STIX Math" w:eastAsia="STIX Math" w:cs="STIX Math"/>
        </w:rPr>
        <w:t>∫Σℏℱ = 2πℏc₁ = 3h.</w:t>
      </w:r>
    </w:p>
    <w:p>
      <w:pPr>
        <w:pStyle w:val="Heading1"/>
        <w:keepNext/>
      </w:pPr>
      <w:r>
        <w:rPr>
          <w:rFonts w:ascii="Carlito" w:hAnsi="Carlito" w:eastAsia="Carlito" w:cs="Carlito"/>
        </w:rPr>
        <w:t>5. Completion amplitudes and the lawful path domain</w:t>
      </w:r>
    </w:p>
    <w:p>
      <w:pPr>
        <w:pStyle w:val="BodyText"/>
      </w:pPr>
      <w:r>
        <w:rPr>
          <w:rFonts w:ascii="Noto Serif" w:hAnsi="Noto Serif" w:eastAsia="Noto Serif" w:cs="Noto Serif"/>
        </w:rPr>
        <w:t>Let RA and RB be initial and final boundary restrictions. Define the completion fibre</w:t>
      </w:r>
    </w:p>
    <w:p>
      <w:pPr>
        <w:pStyle w:val="DisplayMath"/>
        <w:keepLines/>
        <w:widowControl/>
      </w:pPr>
      <w:r>
        <w:rPr>
          <w:rFonts w:ascii="STIX Math" w:hAnsi="STIX Math" w:eastAsia="STIX Math" w:cs="STIX Math"/>
        </w:rPr>
        <w:t>Comp(RA→RB)={Ω : Ω is a lawful joined actuality restricting to RA and RB}.</w:t>
      </w:r>
    </w:p>
    <w:p>
      <w:pPr>
        <w:pStyle w:val="BodyText"/>
      </w:pPr>
      <w:r>
        <w:rPr>
          <w:rFonts w:ascii="Noto Serif" w:hAnsi="Noto Serif" w:eastAsia="Noto Serif" w:cs="Noto Serif"/>
        </w:rPr>
        <w:t>The natural transition amplitude is</w:t>
      </w:r>
    </w:p>
    <w:p>
      <w:pPr>
        <w:pStyle w:val="DisplayMath"/>
        <w:keepLines/>
        <w:widowControl/>
      </w:pPr>
      <w:r>
        <w:rPr>
          <w:rFonts w:ascii="STIX Math" w:hAnsi="STIX Math" w:eastAsia="STIX Math" w:cs="STIX Math"/>
        </w:rPr>
        <w:t>K(RB,RA)=∫Ω∈Comp(RA→RB) exp(iS[Ω]/ℏ)dμ(Ω).</w:t>
      </w:r>
    </w:p>
    <w:p>
      <w:pPr>
        <w:pStyle w:val="BodyText"/>
      </w:pPr>
      <w:r>
        <w:rPr>
          <w:rFonts w:ascii="Noto Serif" w:hAnsi="Noto Serif" w:eastAsia="Noto Serif" w:cs="Noto Serif"/>
        </w:rPr>
        <w:t>The domain is every globally lawful completion of the same boundary data. It is not the set of every imaginable geometric curve. This gives the path integral a direct relation-first interpretation.</w:t>
      </w:r>
    </w:p>
    <w:p>
      <w:pPr>
        <w:pStyle w:val="BodyText"/>
      </w:pPr>
      <w:r>
        <w:rPr>
          <w:rFonts w:ascii="Noto Serif" w:hAnsi="Noto Serif" w:eastAsia="Noto Serif" w:cs="Noto Serif"/>
        </w:rPr>
        <w:t>When the phase varies rapidly, neighbouring completions cancel. Near</w:t>
      </w:r>
    </w:p>
    <w:p>
      <w:pPr>
        <w:pStyle w:val="DisplayMath"/>
        <w:keepLines/>
        <w:widowControl/>
      </w:pPr>
      <w:r>
        <w:t>stationary condition: variation(S)=0.</w:t>
      </w:r>
    </w:p>
    <w:p>
      <w:pPr>
        <w:pStyle w:val="BodyText"/>
      </w:pPr>
      <w:r>
        <w:rPr>
          <w:rFonts w:ascii="Noto Serif" w:hAnsi="Noto Serif" w:eastAsia="Noto Serif" w:cs="Noto Serif"/>
        </w:rPr>
        <w:t>the contributions reinforce and the classical equations arise by stationary phase. This recovers the Feynman mechanism once the completion measure, composition law, and record calculus are supplied [4].</w:t>
      </w:r>
    </w:p>
    <w:p>
      <w:pPr>
        <w:pStyle w:val="Heading2"/>
        <w:keepNext/>
      </w:pPr>
      <w:r>
        <w:rPr>
          <w:rFonts w:ascii="Carlito" w:hAnsi="Carlito" w:eastAsia="Carlito" w:cs="Carlito"/>
        </w:rPr>
        <w:t>Gluing</w:t>
      </w:r>
    </w:p>
    <w:p>
      <w:pPr>
        <w:pStyle w:val="BodyText"/>
      </w:pPr>
      <w:r>
        <w:rPr>
          <w:rFonts w:ascii="Noto Serif" w:hAnsi="Noto Serif" w:eastAsia="Noto Serif" w:cs="Noto Serif"/>
        </w:rPr>
        <w:t>If a boundary restriction R is inserted between two process regions, composability requires</w:t>
      </w:r>
    </w:p>
    <w:p>
      <w:pPr>
        <w:pStyle w:val="DisplayMath"/>
        <w:keepLines/>
        <w:widowControl/>
      </w:pPr>
      <w:r>
        <w:rPr>
          <w:rFonts w:ascii="STIX Math" w:hAnsi="STIX Math" w:eastAsia="STIX Math" w:cs="STIX Math"/>
        </w:rPr>
        <w:t>K(RC,RA)=∫dR K(RC,R)K(R,RA).</w:t>
      </w:r>
    </w:p>
    <w:p>
      <w:pPr>
        <w:pStyle w:val="BodyText"/>
      </w:pPr>
      <w:r>
        <w:rPr>
          <w:rFonts w:ascii="Noto Serif" w:hAnsi="Noto Serif" w:eastAsia="Noto Serif" w:cs="Noto Serif"/>
        </w:rPr>
        <w:t>This is the amplitude-level statement of autonomous gluing. A successful completion theory must derive the measure and prove that refinement or alternate fusion trees preserve the same global process phase.</w:t>
      </w:r>
    </w:p>
    <w:p>
      <w:pPr>
        <w:pStyle w:val="Heading1"/>
        <w:keepNext/>
      </w:pPr>
      <w:r>
        <w:rPr>
          <w:rFonts w:ascii="Carlito" w:hAnsi="Carlito" w:eastAsia="Carlito" w:cs="Carlito"/>
        </w:rPr>
        <w:t>6. From a closure body to a field Lagrangian</w:t>
      </w:r>
    </w:p>
    <w:p>
      <w:pPr>
        <w:pStyle w:val="Heading2"/>
        <w:keepNext/>
      </w:pPr>
      <w:r>
        <w:rPr>
          <w:rFonts w:ascii="Carlito" w:hAnsi="Carlito" w:eastAsia="Carlito" w:cs="Carlito"/>
        </w:rPr>
        <w:t>Hard closure and support functions</w:t>
      </w:r>
    </w:p>
    <w:p>
      <w:pPr>
        <w:pStyle w:val="BodyText"/>
      </w:pPr>
      <w:r>
        <w:rPr>
          <w:rFonts w:ascii="Noto Serif" w:hAnsi="Noto Serif" w:eastAsia="Noto Serif" w:cs="Noto Serif"/>
        </w:rPr>
        <w:t>Let 𝒞 be the lawful body of relational fluxes B carried by one autonomous completion. A linear witness F has maximal response</w:t>
      </w:r>
    </w:p>
    <w:p>
      <w:pPr>
        <w:pStyle w:val="DisplayMath"/>
        <w:keepLines/>
        <w:widowControl/>
      </w:pPr>
      <w:r>
        <w:rPr>
          <w:rFonts w:ascii="STIX Math" w:hAnsi="STIX Math" w:eastAsia="STIX Math" w:cs="STIX Math"/>
        </w:rPr>
        <w:t>β𝒞(F)=supB∈𝒞 ⟨B,F⟩.</w:t>
      </w:r>
    </w:p>
    <w:p>
      <w:pPr>
        <w:pStyle w:val="BodyText"/>
      </w:pPr>
      <w:r>
        <w:rPr>
          <w:rFonts w:ascii="Noto Serif" w:hAnsi="Noto Serif" w:eastAsia="Noto Serif" w:cs="Noto Serif"/>
        </w:rPr>
        <w:t>This is the support-function structure already used in the Bell and completion-spectrum theorems. It gives an observable bound when the closure law is hard.</w:t>
      </w:r>
    </w:p>
    <w:p>
      <w:pPr>
        <w:pStyle w:val="Heading2"/>
        <w:keepNext/>
      </w:pPr>
      <w:r>
        <w:rPr>
          <w:rFonts w:ascii="Carlito" w:hAnsi="Carlito" w:eastAsia="Carlito" w:cs="Carlito"/>
        </w:rPr>
        <w:t>Soft closure and rate functions</w:t>
      </w:r>
    </w:p>
    <w:p>
      <w:pPr>
        <w:pStyle w:val="BodyText"/>
      </w:pPr>
      <w:r>
        <w:rPr>
          <w:rFonts w:ascii="Noto Serif" w:hAnsi="Noto Serif" w:eastAsia="Noto Serif" w:cs="Noto Serif"/>
        </w:rPr>
        <w:t>Let IComp(B) be a lower-semicontinuous Euclidean rate function measuring the cost, scarcity, or instability of completions carrying B. Its convex conjugate is</w:t>
      </w:r>
    </w:p>
    <w:p>
      <w:pPr>
        <w:pStyle w:val="DisplayMath"/>
        <w:keepLines/>
        <w:widowControl/>
      </w:pPr>
      <w:r>
        <w:rPr>
          <w:rFonts w:ascii="STIX Math" w:hAnsi="STIX Math" w:eastAsia="STIX Math" w:cs="STIX Math"/>
        </w:rPr>
        <w:t>ℒeff(F)=IComp*(F)=supB[⟨B,F⟩−IComp(B)].</w:t>
      </w:r>
    </w:p>
    <w:p>
      <w:pPr>
        <w:pStyle w:val="BodyText"/>
      </w:pPr>
      <w:r>
        <w:rPr>
          <w:rFonts w:ascii="Noto Serif" w:hAnsi="Noto Serif" w:eastAsia="Noto Serif" w:cs="Noto Serif"/>
        </w:rPr>
        <w:t>The hard closure body is recovered when IComp is zero on 𝒞 and infinite outside it. Quantum correlation limits and field response are therefore two evaluations of one completion geometry: the hard-body support function and the soft-body constitutive dual.</w:t>
      </w:r>
    </w:p>
    <w:p>
      <w:pPr>
        <w:pStyle w:val="Heading2"/>
        <w:keepNext/>
      </w:pPr>
      <w:r>
        <w:rPr>
          <w:rFonts w:ascii="Carlito" w:hAnsi="Carlito" w:eastAsia="Carlito" w:cs="Carlito"/>
        </w:rPr>
        <w:t>Static–dynamic reciprocity</w:t>
      </w:r>
    </w:p>
    <w:p>
      <w:pPr>
        <w:pStyle w:val="BodyText"/>
      </w:pPr>
      <w:r>
        <w:rPr>
          <w:rFonts w:ascii="Noto Serif" w:hAnsi="Noto Serif" w:eastAsia="Noto Serif" w:cs="Noto Serif"/>
        </w:rPr>
        <w:t>At differentiable dual points,</w:t>
      </w:r>
    </w:p>
    <w:p>
      <w:pPr>
        <w:pStyle w:val="DisplayMath"/>
        <w:keepLines/>
        <w:widowControl/>
      </w:pPr>
      <w:r>
        <w:rPr>
          <w:rFonts w:ascii="STIX Math" w:hAnsi="STIX Math" w:eastAsia="STIX Math" w:cs="STIX Math"/>
        </w:rPr>
        <w:t>F=∇IComp(B),      B=∇ℒeff(F),      ∇²ℒeff(F)=[∇²IComp(B)]⁻¹.</w:t>
      </w:r>
    </w:p>
    <w:p>
      <w:pPr>
        <w:pStyle w:val="BodyText"/>
      </w:pPr>
      <w:r>
        <w:rPr>
          <w:rFonts w:ascii="Noto Serif" w:hAnsi="Noto Serif" w:eastAsia="Noto Serif" w:cs="Noto Serif"/>
        </w:rPr>
        <w:t>The response susceptibility is the inverse closure stiffness. Version 0.14’s static–dynamic rigidity test is a finite spectral instance: the same holonomy eigenphase controls the maximal alignment score and the slowest restoration mode.</w:t>
      </w:r>
    </w:p>
    <w:p>
      <w:pPr>
        <w:pStyle w:val="Heading2"/>
        <w:keepNext/>
      </w:pPr>
      <w:r>
        <w:rPr>
          <w:rFonts w:ascii="Carlito" w:hAnsi="Carlito" w:eastAsia="Carlito" w:cs="Carlito"/>
        </w:rPr>
        <w:t>Expansion around a lawful orbit</w:t>
      </w:r>
    </w:p>
    <w:p>
      <w:pPr>
        <w:pStyle w:val="BodyText"/>
      </w:pPr>
      <w:r>
        <w:rPr>
          <w:rFonts w:ascii="Noto Serif" w:hAnsi="Noto Serif" w:eastAsia="Noto Serif" w:cs="Noto Serif"/>
        </w:rPr>
        <w:t>Suppose the completion rate has a lawful orbit or local minimum B₀:</w:t>
      </w:r>
    </w:p>
    <w:p>
      <w:pPr>
        <w:pStyle w:val="DisplayMath"/>
        <w:keepLines/>
        <w:widowControl/>
      </w:pPr>
      <w:r>
        <w:rPr>
          <w:rFonts w:ascii="STIX Math" w:hAnsi="STIX Math" w:eastAsia="STIX Math" w:cs="STIX Math"/>
        </w:rPr>
        <w:t>IComp(B₀+β)=IComp(B₀)+½⟨β,Kβ⟩+(1/3!)C₃(β,β,β)+⋯.</w:t>
      </w:r>
    </w:p>
    <w:p>
      <w:pPr>
        <w:pStyle w:val="BodyText"/>
      </w:pPr>
      <w:r>
        <w:rPr>
          <w:rFonts w:ascii="Noto Serif" w:hAnsi="Noto Serif" w:eastAsia="Noto Serif" w:cs="Noto Serif"/>
        </w:rPr>
        <w:t>Eliminating B gives</w:t>
      </w:r>
    </w:p>
    <w:p>
      <w:pPr>
        <w:pStyle w:val="DisplayMath"/>
        <w:keepLines/>
        <w:widowControl/>
      </w:pPr>
      <w:r>
        <w:rPr>
          <w:rFonts w:ascii="STIX Math" w:hAnsi="STIX Math" w:eastAsia="STIX Math" w:cs="STIX Math"/>
        </w:rPr>
        <w:t>ℒeff(F)=⟨B₀,F⟩+½⟨F,K⁻¹F⟩+O(F³).</w:t>
      </w:r>
    </w:p>
    <w:p>
      <w:pPr>
        <w:pStyle w:val="BodyText"/>
      </w:pPr>
      <w:r>
        <w:rPr>
          <w:rFonts w:ascii="Noto Serif" w:hAnsi="Noto Serif" w:eastAsia="Noto Serif" w:cs="Noto Serif"/>
        </w:rPr>
        <w:t>A centre-neutral orbit B₀=0 begins quadratically. A support-forming nonzero orbit begins linearly. This is the constitutive origin of the different leading powers in gauge and gravitational actions.</w:t>
      </w:r>
    </w:p>
    <w:p>
      <w:pPr>
        <w:pStyle w:val="Heading1"/>
        <w:keepNext/>
      </w:pPr>
      <w:r>
        <w:rPr>
          <w:rFonts w:ascii="Carlito" w:hAnsi="Carlito" w:eastAsia="Carlito" w:cs="Carlito"/>
        </w:rPr>
        <w:t>7. The first-order parent action</w:t>
      </w:r>
    </w:p>
    <w:p>
      <w:pPr>
        <w:pStyle w:val="BodyText"/>
      </w:pPr>
      <w:r>
        <w:rPr>
          <w:rFonts w:ascii="Noto Serif" w:hAnsi="Noto Serif" w:eastAsia="Noto Serif" w:cs="Noto Serif"/>
        </w:rPr>
        <w:t>Let 𝒜 be the physical comparison connection and let</w:t>
      </w:r>
    </w:p>
    <w:p>
      <w:pPr>
        <w:pStyle w:val="DisplayMath"/>
        <w:keepLines/>
        <w:widowControl/>
      </w:pPr>
      <w:r>
        <w:rPr>
          <w:rFonts w:ascii="STIX Math" w:hAnsi="STIX Math" w:eastAsia="STIX Math" w:cs="STIX Math"/>
        </w:rPr>
        <w:t>𝔽[𝒜]=d𝒜+𝒜∧𝒜.</w:t>
      </w:r>
    </w:p>
    <w:p>
      <w:pPr>
        <w:pStyle w:val="BodyText"/>
      </w:pPr>
      <w:r>
        <w:rPr>
          <w:rFonts w:ascii="Noto Serif" w:hAnsi="Noto Serif" w:eastAsia="Noto Serif" w:cs="Noto Serif"/>
        </w:rPr>
        <w:t>Let B be the oriented relational flux conjugate to curvature. The parent action is</w:t>
      </w:r>
    </w:p>
    <w:p>
      <w:pPr>
        <w:pStyle w:val="DisplayMath"/>
        <w:keepLines/>
        <w:widowControl/>
      </w:pPr>
      <w:r>
        <w:rPr>
          <w:rFonts w:ascii="STIX Math" w:hAnsi="STIX Math" w:eastAsia="STIX Math" w:cs="STIX Math"/>
        </w:rPr>
        <w:t>S[B,𝒜,Γ]=∫M[⟨B∧𝔽[𝒜]⟩−IComp(B)] + Sdefect[Γ,𝒜,B].</w:t>
      </w:r>
    </w:p>
    <w:p>
      <w:pPr>
        <w:pStyle w:val="BodyText"/>
      </w:pPr>
      <w:r>
        <w:rPr>
          <w:rFonts w:ascii="Noto Serif" w:hAnsi="Noto Serif" w:eastAsia="Noto Serif" w:cs="Noto Serif"/>
        </w:rPr>
        <w:t>Variation with respect to B gives the constitutive relation</w:t>
      </w:r>
    </w:p>
    <w:p>
      <w:pPr>
        <w:pStyle w:val="DisplayMath"/>
        <w:keepLines/>
        <w:widowControl/>
      </w:pPr>
      <w:r>
        <w:rPr>
          <w:rFonts w:ascii="STIX Math" w:hAnsi="STIX Math" w:eastAsia="STIX Math" w:cs="STIX Math"/>
        </w:rPr>
        <w:t>𝔽 = δIComp/δB.</w:t>
      </w:r>
    </w:p>
    <w:p>
      <w:pPr>
        <w:pStyle w:val="BodyText"/>
      </w:pPr>
      <w:r>
        <w:rPr>
          <w:rFonts w:ascii="Noto Serif" w:hAnsi="Noto Serif" w:eastAsia="Noto Serif" w:cs="Noto Serif"/>
        </w:rPr>
        <w:t>Variation with respect to the connection gives</w:t>
      </w:r>
    </w:p>
    <w:p>
      <w:pPr>
        <w:pStyle w:val="DisplayMath"/>
        <w:keepLines/>
        <w:widowControl/>
      </w:pPr>
      <w:r>
        <w:rPr>
          <w:rFonts w:ascii="STIX Math" w:hAnsi="STIX Math" w:eastAsia="STIX Math" w:cs="STIX Math"/>
        </w:rPr>
        <w:t>D𝒜B = Jdefect.</w:t>
      </w:r>
    </w:p>
    <w:p>
      <w:pPr>
        <w:pStyle w:val="BodyText"/>
      </w:pPr>
      <w:r>
        <w:rPr>
          <w:rFonts w:ascii="Noto Serif" w:hAnsi="Noto Serif" w:eastAsia="Noto Serif" w:cs="Noto Serif"/>
        </w:rPr>
        <w:t>Curvature is determined by the relational area that lawful completion can sustain. Defects or matter currents are failures of that flux to close covariantly.</w:t>
      </w:r>
    </w:p>
    <w:p>
      <w:pPr>
        <w:pStyle w:val="Heading2"/>
        <w:keepNext/>
      </w:pPr>
      <w:r>
        <w:rPr>
          <w:rFonts w:ascii="Carlito" w:hAnsi="Carlito" w:eastAsia="Carlito" w:cs="Carlito"/>
        </w:rPr>
        <w:t>Finite face form</w:t>
      </w:r>
    </w:p>
    <w:p>
      <w:pPr>
        <w:pStyle w:val="BodyText"/>
      </w:pPr>
      <w:r>
        <w:rPr>
          <w:rFonts w:ascii="Noto Serif" w:hAnsi="Noto Serif" w:eastAsia="Noto Serif" w:cs="Noto Serif"/>
        </w:rPr>
        <w:t>On the completion surface X=C₃×C₄, a face-level Lorentzian phase can be written</w:t>
      </w:r>
    </w:p>
    <w:p>
      <w:pPr>
        <w:pStyle w:val="DisplayMath"/>
        <w:keepLines/>
        <w:widowControl/>
      </w:pPr>
      <w:r>
        <w:rPr>
          <w:rFonts w:ascii="STIX Math" w:hAnsi="STIX Math" w:eastAsia="STIX Math" w:cs="STIX Math"/>
        </w:rPr>
        <w:t>SX/ℏ = Σf [ ⟨bf,Log Pf⟩ − iComp(bf) ] + Σγ θγ.</w:t>
      </w:r>
    </w:p>
    <w:p>
      <w:pPr>
        <w:pStyle w:val="BodyText"/>
      </w:pPr>
      <w:r>
        <w:rPr>
          <w:rFonts w:ascii="Noto Serif" w:hAnsi="Noto Serif" w:eastAsia="Noto Serif" w:cs="Noto Serif"/>
        </w:rPr>
        <w:t>The oriented logarithm of holonomy belongs to the phase. The positive expression 1−cosφ belongs to a Euclidean cost or Hamiltonian. Their common origin does not make them interchangeable.</w:t>
      </w:r>
    </w:p>
    <w:p>
      <w:pPr>
        <w:pStyle w:val="Heading2"/>
        <w:keepNext/>
      </w:pPr>
      <w:r>
        <w:rPr>
          <w:rFonts w:ascii="Carlito" w:hAnsi="Carlito" w:eastAsia="Carlito" w:cs="Carlito"/>
        </w:rPr>
        <w:t>The local chord and the finite gauge cost</w:t>
      </w:r>
    </w:p>
    <w:p>
      <w:pPr>
        <w:pStyle w:val="DisplayMath"/>
        <w:keepLines/>
        <w:widowControl/>
      </w:pPr>
      <w:r>
        <w:rPr>
          <w:rFonts w:ascii="STIX Math" w:hAnsi="STIX Math" w:eastAsia="STIX Math" w:cs="STIX Math"/>
        </w:rPr>
        <w:t>1−cosφ = 2 |(1−eⁱᵠ)/2|².</w:t>
      </w:r>
    </w:p>
    <w:p>
      <w:pPr>
        <w:pStyle w:val="BodyText"/>
      </w:pPr>
      <w:r>
        <w:rPr>
          <w:rFonts w:ascii="Noto Serif" w:hAnsi="Noto Serif" w:eastAsia="Noto Serif" w:cs="Noto Serif"/>
        </w:rPr>
        <w:t>The Wilson plaquette term is exactly the squared enacted-channel intensity of a finite compact residual. It is a legitimate finite-cell constitutive law. Exact refinement will later select a stronger face kernel.</w:t>
      </w:r>
    </w:p>
    <w:p>
      <w:pPr>
        <w:pStyle w:val="Heading1"/>
        <w:keepNext/>
      </w:pPr>
      <w:r>
        <w:rPr>
          <w:rFonts w:ascii="Carlito" w:hAnsi="Carlito" w:eastAsia="Carlito" w:cs="Carlito"/>
        </w:rPr>
        <w:t>8. Centre-neutral completion: Maxwell and Yang–Mills</w:t>
      </w:r>
    </w:p>
    <w:p>
      <w:pPr>
        <w:pStyle w:val="BodyText"/>
      </w:pPr>
      <w:r>
        <w:rPr>
          <w:rFonts w:ascii="Noto Serif" w:hAnsi="Noto Serif" w:eastAsia="Noto Serif" w:cs="Noto Serif"/>
        </w:rPr>
        <w:t>In an internal sector fluctuating around B₀=0, choose</w:t>
      </w:r>
    </w:p>
    <w:p>
      <w:pPr>
        <w:pStyle w:val="DisplayMath"/>
        <w:keepLines/>
        <w:widowControl/>
      </w:pPr>
      <w:r>
        <w:rPr>
          <w:rFonts w:ascii="STIX Math" w:hAnsi="STIX Math" w:eastAsia="STIX Math" w:cs="STIX Math"/>
        </w:rPr>
        <w:t>Iint(B)=(g²/2)∫⟨B∧*B⟩.</w:t>
      </w:r>
    </w:p>
    <w:p>
      <w:pPr>
        <w:pStyle w:val="BodyText"/>
      </w:pPr>
      <w:r>
        <w:rPr>
          <w:rFonts w:ascii="Noto Serif" w:hAnsi="Noto Serif" w:eastAsia="Noto Serif" w:cs="Noto Serif"/>
        </w:rPr>
        <w:t>The B equation gives, up to signature conventions,</w:t>
      </w:r>
    </w:p>
    <w:p>
      <w:pPr>
        <w:pStyle w:val="DisplayMath"/>
        <w:keepLines/>
        <w:widowControl/>
      </w:pPr>
      <w:r>
        <w:rPr>
          <w:rFonts w:ascii="STIX Math" w:hAnsi="STIX Math" w:eastAsia="STIX Math" w:cs="STIX Math"/>
        </w:rPr>
        <w:t>B=g⁻² *F.</w:t>
      </w:r>
    </w:p>
    <w:p>
      <w:pPr>
        <w:pStyle w:val="BodyText"/>
      </w:pPr>
      <w:r>
        <w:rPr>
          <w:rFonts w:ascii="Noto Serif" w:hAnsi="Noto Serif" w:eastAsia="Noto Serif" w:cs="Noto Serif"/>
        </w:rPr>
        <w:t>Substitution gives</w:t>
      </w:r>
    </w:p>
    <w:p>
      <w:pPr>
        <w:pStyle w:val="DisplayMath"/>
        <w:keepLines/>
        <w:widowControl/>
      </w:pPr>
      <w:r>
        <w:rPr>
          <w:rFonts w:ascii="STIX Math" w:hAnsi="STIX Math" w:eastAsia="STIX Math" w:cs="STIX Math"/>
        </w:rPr>
        <w:t>Sint=−(1/2g²)∫⟨F∧*F⟩.</w:t>
      </w:r>
    </w:p>
    <w:p>
      <w:pPr>
        <w:pStyle w:val="BodyText"/>
      </w:pPr>
      <w:r>
        <w:rPr>
          <w:rFonts w:ascii="Noto Serif" w:hAnsi="Noto Serif" w:eastAsia="Noto Serif" w:cs="Noto Serif"/>
        </w:rPr>
        <w:t>The Maxwell or Yang–Mills kinetic term is the quadratic constitutive response of a centre-neutral completion flux. The group, representation, coupling matrix, matter content, and quantization still require derivation.</w:t>
      </w:r>
    </w:p>
    <w:p>
      <w:pPr>
        <w:pStyle w:val="Heading2"/>
        <w:keepNext/>
      </w:pPr>
      <w:r>
        <w:rPr>
          <w:rFonts w:ascii="Carlito" w:hAnsi="Carlito" w:eastAsia="Carlito" w:cs="Carlito"/>
        </w:rPr>
        <w:t>Matter transport</w:t>
      </w:r>
    </w:p>
    <w:p>
      <w:pPr>
        <w:pStyle w:val="BodyText"/>
      </w:pPr>
      <w:r>
        <w:rPr>
          <w:rFonts w:ascii="Noto Serif" w:hAnsi="Noto Serif" w:eastAsia="Noto Serif" w:cs="Noto Serif"/>
        </w:rPr>
        <w:t>For matter ψ in representation ρ, the same enacted mismatch gives</w:t>
      </w:r>
    </w:p>
    <w:p>
      <w:pPr>
        <w:pStyle w:val="DisplayMath"/>
        <w:keepLines/>
        <w:widowControl/>
      </w:pPr>
      <w:r>
        <w:rPr>
          <w:rFonts w:ascii="STIX Math" w:hAnsi="STIX Math" w:eastAsia="STIX Math" w:cs="STIX Math"/>
        </w:rPr>
        <w:t>½‖ψt−ρ(Ue)ψs‖² = 1−Re⟨ψt,ρ(Ue)ψs⟩</w:t>
      </w:r>
    </w:p>
    <w:p>
      <w:pPr>
        <w:pStyle w:val="BodyText"/>
      </w:pPr>
      <w:r>
        <w:rPr>
          <w:rFonts w:ascii="Noto Serif" w:hAnsi="Noto Serif" w:eastAsia="Noto Serif" w:cs="Noto Serif"/>
        </w:rPr>
        <w:t>for normalized states. Covariant matter gradients and gauge curvature are two arities of one completion defect: failure of the carrier to close across an edge and failure of the comparison rule to close around a face.</w:t>
      </w:r>
    </w:p>
    <w:p>
      <w:pPr>
        <w:pStyle w:val="Heading2"/>
        <w:keepNext/>
      </w:pPr>
      <w:r>
        <w:rPr>
          <w:rFonts w:ascii="Carlito" w:hAnsi="Carlito" w:eastAsia="Carlito" w:cs="Carlito"/>
        </w:rPr>
        <w:t>Charge</w:t>
      </w:r>
    </w:p>
    <w:p>
      <w:pPr>
        <w:pStyle w:val="BodyText"/>
      </w:pPr>
      <w:r>
        <w:rPr>
          <w:rFonts w:ascii="Noto Serif" w:hAnsi="Noto Serif" w:eastAsia="Noto Serif" w:cs="Noto Serif"/>
        </w:rPr>
        <w:t>Charge is the representation weight with which a matter constitution detects compact holonomy. A defect worldline contributes</w:t>
      </w:r>
    </w:p>
    <w:p>
      <w:pPr>
        <w:pStyle w:val="DisplayMath"/>
        <w:keepLines/>
        <w:widowControl/>
      </w:pPr>
      <w:r>
        <w:rPr>
          <w:rFonts w:ascii="STIX Math" w:hAnsi="STIX Math" w:eastAsia="STIX Math" w:cs="STIX Math"/>
        </w:rPr>
        <w:t>Scharge=(q/c)∫γ A.</w:t>
      </w:r>
    </w:p>
    <w:p>
      <w:pPr>
        <w:pStyle w:val="BodyText"/>
      </w:pPr>
      <w:r>
        <w:rPr>
          <w:rFonts w:ascii="Noto Serif" w:hAnsi="Noto Serif" w:eastAsia="Noto Serif" w:cs="Noto Serif"/>
        </w:rPr>
        <w:t>The field action and source coupling are not unrelated additions. The field cost describes how the renewable comparison standard carries curvature. The source phase describes how a specific representation reads it.</w:t>
      </w:r>
    </w:p>
    <w:p>
      <w:pPr>
        <w:pStyle w:val="Heading1"/>
        <w:keepNext/>
      </w:pPr>
      <w:r>
        <w:rPr>
          <w:rFonts w:ascii="Carlito" w:hAnsi="Carlito" w:eastAsia="Carlito" w:cs="Carlito"/>
        </w:rPr>
        <w:t>9. Exact refinement and the face semigroup</w:t>
      </w:r>
    </w:p>
    <w:p>
      <w:pPr>
        <w:pStyle w:val="BodyText"/>
      </w:pPr>
      <w:r>
        <w:rPr>
          <w:rFonts w:ascii="Noto Serif" w:hAnsi="Noto Serif" w:eastAsia="Noto Serif" w:cs="Noto Serif"/>
        </w:rPr>
        <w:t>Let Wa(H) be the Euclidean weight of a face of relational area a carrying holonomy H. Exact subdivision requires</w:t>
      </w:r>
    </w:p>
    <w:p>
      <w:pPr>
        <w:pStyle w:val="DisplayMath"/>
        <w:keepLines/>
        <w:widowControl/>
      </w:pPr>
      <w:r>
        <w:rPr>
          <w:rFonts w:ascii="STIX Math" w:hAnsi="STIX Math" w:eastAsia="STIX Math" w:cs="STIX Math"/>
        </w:rPr>
        <w:t>Wa+b = Wa * Wb,</w:t>
      </w:r>
    </w:p>
    <w:p>
      <w:pPr>
        <w:pStyle w:val="BodyText"/>
      </w:pPr>
      <w:r>
        <w:rPr>
          <w:rFonts w:ascii="Noto Serif" w:hAnsi="Noto Serif" w:eastAsia="Noto Serif" w:cs="Noto Serif"/>
        </w:rPr>
        <w:t>where convolution integrates over the new internal boundary. A refinement map is lawful only when the fine face weights compose back into the same coarse completion.</w:t>
      </w:r>
    </w:p>
    <w:p>
      <w:pPr>
        <w:pStyle w:val="Heading2"/>
        <w:keepNext/>
      </w:pPr>
      <w:r>
        <w:rPr>
          <w:rFonts w:ascii="Carlito" w:hAnsi="Carlito" w:eastAsia="Carlito" w:cs="Carlito"/>
        </w:rPr>
        <w:t>Character expansion</w:t>
      </w:r>
    </w:p>
    <w:p>
      <w:pPr>
        <w:pStyle w:val="BodyText"/>
      </w:pPr>
      <w:r>
        <w:rPr>
          <w:rFonts w:ascii="Noto Serif" w:hAnsi="Noto Serif" w:eastAsia="Noto Serif" w:cs="Noto Serif"/>
        </w:rPr>
        <w:t>For a compact group, a weakly continuous central convolution semigroup has the Peter–Weyl form</w:t>
      </w:r>
    </w:p>
    <w:p>
      <w:pPr>
        <w:pStyle w:val="DisplayMath"/>
        <w:keepLines/>
        <w:widowControl/>
      </w:pPr>
      <w:r>
        <w:rPr>
          <w:rFonts w:ascii="STIX Math" w:hAnsi="STIX Math" w:eastAsia="STIX Math" w:cs="STIX Math"/>
        </w:rPr>
        <w:t>Wa(H)=Σρ dρ e^(−aηρ) χρ(H).</w:t>
      </w:r>
    </w:p>
    <w:p>
      <w:pPr>
        <w:pStyle w:val="BodyText"/>
      </w:pPr>
      <w:r>
        <w:rPr>
          <w:rFonts w:ascii="Noto Serif" w:hAnsi="Noto Serif" w:eastAsia="Noto Serif" w:cs="Noto Serif"/>
        </w:rPr>
        <w:t>Exact gluing alone allows a wider class of central Lévy generators. If the completion process is local, isotropic, continuous in its paths, and second order, the generator is the bi-invariant Laplacian and</w:t>
      </w:r>
    </w:p>
    <w:p>
      <w:pPr>
        <w:pStyle w:val="DisplayMath"/>
        <w:keepLines/>
        <w:widowControl/>
      </w:pPr>
      <w:r>
        <w:rPr>
          <w:rFonts w:ascii="STIX Math" w:hAnsi="STIX Math" w:eastAsia="STIX Math" w:cs="STIX Math"/>
        </w:rPr>
        <w:t>ηρ = κ C₂(ρ)/2</w:t>
      </w:r>
    </w:p>
    <w:p>
      <w:pPr>
        <w:pStyle w:val="BodyText"/>
      </w:pPr>
      <w:r>
        <w:rPr>
          <w:rFonts w:ascii="Noto Serif" w:hAnsi="Noto Serif" w:eastAsia="Noto Serif" w:cs="Noto Serif"/>
        </w:rPr>
        <w:t>up to normalization. The face weight is the group heat kernel. This is the exact refinement-stable sector of two-dimensional Yang–Mills-type completion [5–7].</w:t>
      </w:r>
    </w:p>
    <w:p>
      <w:pPr>
        <w:pStyle w:val="Heading2"/>
        <w:keepNext/>
      </w:pPr>
      <w:r>
        <w:rPr>
          <w:rFonts w:ascii="Carlito" w:hAnsi="Carlito" w:eastAsia="Carlito" w:cs="Carlito"/>
        </w:rPr>
        <w:t>The Abelian kernel</w:t>
      </w:r>
    </w:p>
    <w:p>
      <w:pPr>
        <w:pStyle w:val="DisplayMath"/>
        <w:keepLines/>
        <w:widowControl/>
      </w:pPr>
      <w:r>
        <w:rPr>
          <w:rFonts w:ascii="STIX Math" w:hAnsi="STIX Math" w:eastAsia="STIX Math" w:cs="STIX Math"/>
        </w:rPr>
        <w:t>Wa(φ)=(1/2π)Σn∈ℤ exp(−aκn²/2)eⁱⁿᵠ.</w:t>
      </w:r>
    </w:p>
    <w:p>
      <w:pPr>
        <w:pStyle w:val="BodyText"/>
      </w:pPr>
      <w:r>
        <w:rPr>
          <w:rFonts w:ascii="Noto Serif" w:hAnsi="Noto Serif" w:eastAsia="Noto Serif" w:cs="Noto Serif"/>
        </w:rPr>
        <w:t>Poisson resummation gives a periodic Gaussian. On the principal small-curvature branch,</w:t>
      </w:r>
    </w:p>
    <w:p>
      <w:pPr>
        <w:pStyle w:val="DisplayMath"/>
        <w:keepLines/>
        <w:widowControl/>
      </w:pPr>
      <w:r>
        <w:rPr>
          <w:rFonts w:ascii="STIX Math" w:hAnsi="STIX Math" w:eastAsia="STIX Math" w:cs="STIX Math"/>
        </w:rPr>
        <w:t>−log Wa(φ)=φ²/(2aκ)+⋯.</w:t>
      </w:r>
    </w:p>
    <w:p>
      <w:pPr>
        <w:pStyle w:val="BodyText"/>
      </w:pPr>
      <w:r>
        <w:rPr>
          <w:rFonts w:ascii="Noto Serif" w:hAnsi="Noto Serif" w:eastAsia="Noto Serif" w:cs="Noto Serif"/>
        </w:rPr>
        <w:t>Integer representation weights, compact winding, exact gluing, and the Maxwell limit appear in one kernel.</w:t>
      </w:r>
    </w:p>
    <w:p>
      <w:pPr>
        <w:pStyle w:val="Heading2"/>
        <w:keepNext/>
      </w:pPr>
      <w:r>
        <w:rPr>
          <w:rFonts w:ascii="Carlito" w:hAnsi="Carlito" w:eastAsia="Carlito" w:cs="Carlito"/>
        </w:rPr>
        <w:t>Wilson versus heat-kernel actions</w:t>
      </w:r>
    </w:p>
    <w:p>
      <w:pPr>
        <w:pStyle w:val="BodyText"/>
      </w:pPr>
      <w:r>
        <w:rPr>
          <w:rFonts w:ascii="Noto Serif" w:hAnsi="Noto Serif" w:eastAsia="Noto Serif" w:cs="Noto Serif"/>
        </w:rPr>
        <w:t>The Wilson cosine is an exact finite mismatch and a useful lattice action. It is not exactly closed under arbitrary face subdivision. If refinement invariance is foundational, the complete face kernel or its logarithm is primary. The Wilson term is a constitutive lattice choice or local approximation.</w:t>
      </w:r>
    </w:p>
    <w:p>
      <w:pPr>
        <w:pStyle w:val="Heading2"/>
        <w:keepNext/>
      </w:pPr>
      <w:r>
        <w:rPr>
          <w:rFonts w:ascii="Carlito" w:hAnsi="Carlito" w:eastAsia="Carlito" w:cs="Carlito"/>
        </w:rPr>
        <w:t>The inherited dimensional result</w:t>
      </w:r>
    </w:p>
    <w:p>
      <w:pPr>
        <w:pStyle w:val="BodyText"/>
      </w:pPr>
      <w:r>
        <w:rPr>
          <w:rFonts w:ascii="Noto Serif" w:hAnsi="Noto Serif" w:eastAsia="Noto Serif" w:cs="Noto Serif"/>
        </w:rPr>
        <w:t>Version 0.14 proved that a fixed holonomy on Xn=C₃n×C₄n has finite total Dirichlet cost as n→∞, whereas the one-dimensional cycle cost vanishes. Under scale-independent local stiffness,</w:t>
      </w:r>
    </w:p>
    <w:p>
      <w:pPr>
        <w:pStyle w:val="DisplayMath"/>
        <w:keepLines/>
        <w:widowControl/>
      </w:pPr>
      <w:r>
        <w:rPr>
          <w:rFonts w:ascii="STIX Math" w:hAnsi="STIX Math" w:eastAsia="STIX Math" w:cs="STIX Math"/>
        </w:rPr>
        <w:t>Dd(n)∼nᵈ⁻² θ².</w:t>
      </w:r>
    </w:p>
    <w:p>
      <w:pPr>
        <w:pStyle w:val="BodyText"/>
      </w:pPr>
      <w:r>
        <w:rPr>
          <w:rFonts w:ascii="Noto Serif" w:hAnsi="Noto Serif" w:eastAsia="Noto Serif" w:cs="Noto Serif"/>
        </w:rPr>
        <w:t>Two dimensions are the unique refinement dimension with a finite nonzero total closure cost. The face-semigroup law now explains the significance of that result: a two-dimensional completion surface is the first scale on which curvature can carry a stable extensive action.</w:t>
      </w:r>
    </w:p>
    <w:p>
      <w:pPr>
        <w:pStyle w:val="Heading1"/>
        <w:keepNext/>
      </w:pPr>
      <w:r>
        <w:rPr>
          <w:rFonts w:ascii="Carlito" w:hAnsi="Carlito" w:eastAsia="Carlito" w:cs="Carlito"/>
        </w:rPr>
        <w:t>10. Support-forming completion: gravity</w:t>
      </w:r>
    </w:p>
    <w:p>
      <w:pPr>
        <w:pStyle w:val="BodyText"/>
      </w:pPr>
      <w:r>
        <w:rPr>
          <w:rFonts w:ascii="Noto Serif" w:hAnsi="Noto Serif" w:eastAsia="Noto Serif" w:cs="Noto Serif"/>
        </w:rPr>
        <w:t>In the gravitational branch, B is not an auxiliary response inside a fixed metric. It is the nonzero relational area that constitutes support. The local simplicity condition is</w:t>
      </w:r>
    </w:p>
    <w:p>
      <w:pPr>
        <w:pStyle w:val="DisplayMath"/>
        <w:keepLines/>
        <w:widowControl/>
      </w:pPr>
      <w:r>
        <w:t>B = *(e∧e).</w:t>
      </w:r>
    </w:p>
    <w:p>
      <w:pPr>
        <w:pStyle w:val="BodyText"/>
      </w:pPr>
      <w:r>
        <w:rPr>
          <w:rFonts w:ascii="Noto Serif" w:hAnsi="Noto Serif" w:eastAsia="Noto Serif" w:cs="Noto Serif"/>
        </w:rPr>
        <w:t>or the corresponding undualized simple bivector, depending on convention. Substituting into the curvature pairing gives the Palatini–Plebanski form</w:t>
      </w:r>
    </w:p>
    <w:p>
      <w:pPr>
        <w:pStyle w:val="DisplayMath"/>
        <w:keepLines/>
        <w:widowControl/>
      </w:pPr>
      <w:r>
        <w:t>S_GR ∝ ∫ B∧R − (Λ/6)∫ B∧B.</w:t>
      </w:r>
    </w:p>
    <w:p>
      <w:pPr>
        <w:pStyle w:val="BodyText"/>
      </w:pPr>
      <w:r>
        <w:rPr>
          <w:rFonts w:ascii="Noto Serif" w:hAnsi="Noto Serif" w:eastAsia="Noto Serif" w:cs="Noto Serif"/>
        </w:rPr>
        <w:t>Eliminating the compatible spin connection gives the Einstein–Hilbert dynamics under the standard nondegeneracy conditions [8–10].</w:t>
      </w:r>
    </w:p>
    <w:p>
      <w:pPr>
        <w:pStyle w:val="Heading2"/>
        <w:keepNext/>
      </w:pPr>
      <w:r>
        <w:rPr>
          <w:rFonts w:ascii="Carlito" w:hAnsi="Carlito" w:eastAsia="Carlito" w:cs="Carlito"/>
        </w:rPr>
        <w:t>Why the action is linear in curvature</w:t>
      </w:r>
    </w:p>
    <w:p>
      <w:pPr>
        <w:pStyle w:val="BodyText"/>
      </w:pPr>
      <w:r>
        <w:rPr>
          <w:rFonts w:ascii="Noto Serif" w:hAnsi="Noto Serif" w:eastAsia="Noto Serif" w:cs="Noto Serif"/>
        </w:rPr>
        <w:t>The internal branch fluctuates around the centre-neutral orbit B₀=0 and begins with F². The support branch occupies a nonzero simple-bivector orbit and begins with ⟨B₀,F⟩. Gauge and gravity are therefore two constitutive phases of one B–F duality. The difference between their actions is the difference between a response field and a support-forming order parameter.</w:t>
      </w:r>
    </w:p>
    <w:p>
      <w:pPr>
        <w:pStyle w:val="Heading2"/>
        <w:keepNext/>
      </w:pPr>
      <w:r>
        <w:rPr>
          <w:rFonts w:ascii="Carlito" w:hAnsi="Carlito" w:eastAsia="Carlito" w:cs="Carlito"/>
        </w:rPr>
        <w:t>Local simplicity and global objecthood</w:t>
      </w:r>
    </w:p>
    <w:p>
      <w:pPr>
        <w:pStyle w:val="BodyText"/>
      </w:pPr>
      <w:r>
        <w:rPr>
          <w:rFonts w:ascii="Noto Serif" w:hAnsi="Noto Serif" w:eastAsia="Noto Serif" w:cs="Noto Serif"/>
        </w:rPr>
        <w:t>Two independent physical completion directions on one face generate a decomposable bivector</w:t>
      </w:r>
    </w:p>
    <w:p>
      <w:pPr>
        <w:pStyle w:val="DisplayMath"/>
        <w:keepLines/>
        <w:widowControl/>
      </w:pPr>
      <w:r>
        <w:t>B(face) = u∧v.</w:t>
      </w:r>
    </w:p>
    <w:p>
      <w:pPr>
        <w:pStyle w:val="BodyText"/>
      </w:pPr>
      <w:r>
        <w:rPr>
          <w:rFonts w:ascii="Noto Serif" w:hAnsi="Noto Serif" w:eastAsia="Noto Serif" w:cs="Noto Serif"/>
        </w:rPr>
        <w:t>This supplies local simplicity once u and v are physically soldered to displacement. Gravity requires cross-simplicity: the bivectors of neighbouring faces must arise from one common tetrad rather than from separate private planes.</w:t>
      </w:r>
    </w:p>
    <w:p>
      <w:pPr>
        <w:pStyle w:val="DisplayMath"/>
        <w:keepLines/>
        <w:widowControl/>
      </w:pPr>
      <w:r>
        <w:rPr>
          <w:rFonts w:ascii="STIX Math" w:hAnsi="STIX Math" w:eastAsia="STIX Math" w:cs="STIX Math"/>
        </w:rPr>
        <w:t>one autonomous support cell  ⇔  one globally reconstructible simple-bivector geometry.</w:t>
      </w:r>
    </w:p>
    <w:p>
      <w:pPr>
        <w:pStyle w:val="BodyText"/>
      </w:pPr>
      <w:r>
        <w:rPr>
          <w:rFonts w:ascii="Noto Serif" w:hAnsi="Noto Serif" w:eastAsia="Noto Serif" w:cs="Noto Serif"/>
        </w:rPr>
        <w:t>This is the gravitational form of global completion. Reconstruction theorems identify the right-hand geometric conditions; the relational programme must derive them from predictive closure, lawful gluing, and fusion-tree independence [14].</w:t>
      </w:r>
    </w:p>
    <w:p>
      <w:pPr>
        <w:pStyle w:val="Heading2"/>
        <w:keepNext/>
      </w:pPr>
      <w:r>
        <w:rPr>
          <w:rFonts w:ascii="Carlito" w:hAnsi="Carlito" w:eastAsia="Carlito" w:cs="Carlito"/>
        </w:rPr>
        <w:t>Discrete form</w:t>
      </w:r>
    </w:p>
    <w:p>
      <w:pPr>
        <w:pStyle w:val="BodyText"/>
      </w:pPr>
      <w:r>
        <w:rPr>
          <w:rFonts w:ascii="Noto Serif" w:hAnsi="Noto Serif" w:eastAsia="Noto Serif" w:cs="Noto Serif"/>
        </w:rPr>
        <w:t>In a piecewise-flat support, the pairing becomes area times oriented deficit angle:</w:t>
      </w:r>
    </w:p>
    <w:p>
      <w:pPr>
        <w:pStyle w:val="DisplayMath"/>
        <w:keepLines/>
        <w:widowControl/>
      </w:pPr>
      <w:r>
        <w:t>S_Regge ∝ Σ_h (area_h × deficit_h).</w:t>
      </w:r>
    </w:p>
    <w:p>
      <w:pPr>
        <w:pStyle w:val="BodyText"/>
      </w:pPr>
      <w:r>
        <w:rPr>
          <w:rFonts w:ascii="Noto Serif" w:hAnsi="Noto Serif" w:eastAsia="Noto Serif" w:cs="Noto Serif"/>
        </w:rPr>
        <w:t>The one-cycle programme supplied the residual angle. The two-cycle completion surface supplies the conjugate face area. Action appears when the two are paired.</w:t>
      </w:r>
    </w:p>
    <w:p>
      <w:pPr>
        <w:pStyle w:val="Heading2"/>
        <w:keepNext/>
      </w:pPr>
      <w:r>
        <w:rPr>
          <w:rFonts w:ascii="Carlito" w:hAnsi="Carlito" w:eastAsia="Carlito" w:cs="Carlito"/>
        </w:rPr>
        <w:t>What remains open</w:t>
      </w:r>
    </w:p>
    <w:p>
      <w:pPr>
        <w:pStyle w:val="BodyText"/>
      </w:pPr>
      <w:r>
        <w:rPr>
          <w:rFonts w:ascii="Noto Serif" w:hAnsi="Noto Serif" w:eastAsia="Noto Serif" w:cs="Noto Serif"/>
        </w:rPr>
        <w:t>The present construction does not yet derive physical soldering, Lorentzian signature, four-dimensional support, Newton’s constant, the equivalence principle, or the Einstein constitutive orbit. It identifies the exact theorem through which completion could generate the missing Plebanski constraint.</w:t>
      </w:r>
    </w:p>
    <w:p>
      <w:pPr>
        <w:pStyle w:val="Heading1"/>
        <w:keepNext/>
      </w:pPr>
      <w:r>
        <w:rPr>
          <w:rFonts w:ascii="Carlito" w:hAnsi="Carlito" w:eastAsia="Carlito" w:cs="Carlito"/>
        </w:rPr>
        <w:t>11. Worldlines, charge, mass, and the classical limit</w:t>
      </w:r>
    </w:p>
    <w:p>
      <w:pPr>
        <w:pStyle w:val="BodyText"/>
      </w:pPr>
      <w:r>
        <w:rPr>
          <w:rFonts w:ascii="Noto Serif" w:hAnsi="Noto Serif" w:eastAsia="Noto Serif" w:cs="Noto Serif"/>
        </w:rPr>
        <w:t>A spinless charged defect can be written in first-order form as</w:t>
      </w:r>
    </w:p>
    <w:p>
      <w:pPr>
        <w:pStyle w:val="DisplayMath"/>
        <w:keepLines/>
        <w:widowControl/>
      </w:pPr>
      <w:r>
        <w:t>S_worldline = ∫dτ [ p·(e·ẋ) + (q/c)A·ẋ − (N/2)(p²+m²c²) ].</w:t>
      </w:r>
    </w:p>
    <w:p>
      <w:pPr>
        <w:pStyle w:val="BodyText"/>
      </w:pPr>
      <w:r>
        <w:rPr>
          <w:rFonts w:ascii="Noto Serif" w:hAnsi="Noto Serif" w:eastAsia="Noto Serif" w:cs="Noto Serif"/>
        </w:rPr>
        <w:t>Eliminating p and N gives</w:t>
      </w:r>
    </w:p>
    <w:p>
      <w:pPr>
        <w:pStyle w:val="DisplayMath"/>
        <w:keepLines/>
        <w:widowControl/>
      </w:pPr>
      <w:r>
        <w:t>S_worldline = −mc∫ds + (q/c)∫A.</w:t>
      </w:r>
    </w:p>
    <w:p>
      <w:pPr>
        <w:pStyle w:val="BodyText"/>
      </w:pPr>
      <w:r>
        <w:rPr>
          <w:rFonts w:ascii="Noto Serif" w:hAnsi="Noto Serif" w:eastAsia="Noto Serif" w:cs="Noto Serif"/>
        </w:rPr>
        <w:t>A flat support and vanishing connection give special-relativistic free motion. A weak static metric and low velocity give</w:t>
      </w:r>
    </w:p>
    <w:p>
      <w:pPr>
        <w:pStyle w:val="DisplayMath"/>
        <w:keepLines/>
        <w:widowControl/>
      </w:pPr>
      <w:r>
        <w:rPr>
          <w:rFonts w:ascii="STIX Math" w:hAnsi="STIX Math" w:eastAsia="STIX Math" w:cs="STIX Math"/>
        </w:rPr>
        <w:t>L=−mc²+½mv²−mΦ−qφ+(q/c)A·v+O(c⁻²).</w:t>
      </w:r>
    </w:p>
    <w:p>
      <w:pPr>
        <w:pStyle w:val="BodyText"/>
      </w:pPr>
      <w:r>
        <w:rPr>
          <w:rFonts w:ascii="Noto Serif" w:hAnsi="Noto Serif" w:eastAsia="Noto Serif" w:cs="Noto Serif"/>
        </w:rPr>
        <w:t>After removing the constant rest term, the classical T−V form is the weak-curvature, slow-transport limit of one worldline phase.</w:t>
      </w:r>
    </w:p>
    <w:p>
      <w:pPr>
        <w:pStyle w:val="Heading2"/>
        <w:keepNext/>
      </w:pPr>
      <w:r>
        <w:rPr>
          <w:rFonts w:ascii="Carlito" w:hAnsi="Carlito" w:eastAsia="Carlito" w:cs="Carlito"/>
        </w:rPr>
        <w:t>Mass and charge as two sensitivities</w:t>
      </w:r>
    </w:p>
    <w:p>
      <w:pPr>
        <w:pStyle w:val="BodyText"/>
      </w:pPr>
      <w:r>
        <w:rPr>
          <w:rFonts w:ascii="Noto Serif" w:hAnsi="Noto Serif" w:eastAsia="Noto Serif" w:cs="Noto Serif"/>
        </w:rPr>
        <w:t>Charge is the weight with which a defect detects compact internal holonomy. Mass is the proper-time phase rate with which it detects support translation:</w:t>
      </w:r>
    </w:p>
    <w:p>
      <w:pPr>
        <w:pStyle w:val="DisplayMath"/>
        <w:keepLines/>
        <w:widowControl/>
      </w:pPr>
      <w:r>
        <w:t>free phase(τ)=exp(−imc²τ/ℏ).</w:t>
      </w:r>
    </w:p>
    <w:p>
      <w:pPr>
        <w:pStyle w:val="BodyText"/>
      </w:pPr>
      <w:r>
        <w:rPr>
          <w:rFonts w:ascii="Noto Serif" w:hAnsi="Noto Serif" w:eastAsia="Noto Serif" w:cs="Noto Serif"/>
        </w:rPr>
        <w:t>The missing mass theorem must solder an internal renewal eigenphase to this support phase. The action architecture locates the conversion without yet calculating particle masses.</w:t>
      </w:r>
    </w:p>
    <w:p>
      <w:pPr>
        <w:pStyle w:val="Heading1"/>
        <w:keepNext/>
      </w:pPr>
      <w:r>
        <w:rPr>
          <w:rFonts w:ascii="Carlito" w:hAnsi="Carlito" w:eastAsia="Carlito" w:cs="Carlito"/>
        </w:rPr>
        <w:t>12. The product completion complex as an action laboratory</w:t>
      </w:r>
    </w:p>
    <w:p>
      <w:pPr>
        <w:pStyle w:val="BodyText"/>
      </w:pPr>
      <w:r>
        <w:rPr>
          <w:rFonts w:ascii="Noto Serif" w:hAnsi="Noto Serif" w:eastAsia="Noto Serif" w:cs="Noto Serif"/>
        </w:rPr>
        <w:t>The finite surface X=C₃×C₄ remains the first nontrivial laboratory. Its flat commuting connection has exact spectrum</w:t>
      </w:r>
    </w:p>
    <w:p>
      <w:pPr>
        <w:pStyle w:val="DisplayMath"/>
        <w:keepLines/>
        <w:widowControl/>
      </w:pPr>
      <w:r>
        <w:rPr>
          <w:rFonts w:ascii="STIX Math" w:hAnsi="STIX Math" w:eastAsia="STIX Math" w:cs="STIX Math"/>
        </w:rPr>
        <w:t>λα,p,q=2κ₃[1−cos((φ₃α+2πp)/3)]+2κ₄[1−cos((φ₄α+2πq)/4)].</w:t>
      </w:r>
    </w:p>
    <w:p>
      <w:pPr>
        <w:pStyle w:val="BodyText"/>
      </w:pPr>
      <w:r>
        <w:rPr>
          <w:rFonts w:ascii="Noto Serif" w:hAnsi="Noto Serif" w:eastAsia="Noto Serif" w:cs="Noto Serif"/>
        </w:rPr>
        <w:t>For trivial holonomy and equal stiffness,</w:t>
      </w:r>
    </w:p>
    <w:p>
      <w:pPr>
        <w:pStyle w:val="DisplayMath"/>
        <w:keepLines/>
        <w:widowControl/>
      </w:pPr>
      <w:r>
        <w:rPr>
          <w:rFonts w:ascii="STIX Math" w:hAnsi="STIX Math" w:eastAsia="STIX Math" w:cs="STIX Math"/>
        </w:rPr>
        <w:t>spec ΔX={0⁽¹⁾,2⁽²⁾,3⁽²⁾,4⁽¹⁾,5⁽⁴⁾,7⁽²⁾}.</w:t>
      </w:r>
    </w:p>
    <w:p>
      <w:pPr>
        <w:pStyle w:val="BodyText"/>
      </w:pPr>
      <w:r>
        <w:rPr>
          <w:rFonts w:ascii="Noto Serif" w:hAnsi="Noto Serif" w:eastAsia="Noto Serif" w:cs="Noto Serif"/>
        </w:rPr>
        <w:t>The heat trace</w:t>
      </w:r>
    </w:p>
    <w:p>
      <w:pPr>
        <w:pStyle w:val="DisplayMath"/>
        <w:keepLines/>
        <w:widowControl/>
      </w:pPr>
      <w:r>
        <w:rPr>
          <w:rFonts w:ascii="STIX Math" w:hAnsi="STIX Math" w:eastAsia="STIX Math" w:cs="STIX Math"/>
        </w:rPr>
        <w:t>KX(t)=1+2e⁻²ᵗ+2e⁻³ᵗ+e⁻⁴ᵗ+4e⁻⁵ᵗ+2e⁻⁷ᵗ</w:t>
      </w:r>
    </w:p>
    <w:p>
      <w:pPr>
        <w:pStyle w:val="BodyText"/>
      </w:pPr>
      <w:r>
        <w:rPr>
          <w:rFonts w:ascii="Noto Serif" w:hAnsi="Noto Serif" w:eastAsia="Noto Serif" w:cs="Noto Serif"/>
        </w:rPr>
        <w:t>is the finite spectral input to restoration, thermal, and induced-action calculations. The lowest eigenvalue controls infrared closure. The full trace controls finite-time and finite-temperature response.</w:t>
      </w:r>
    </w:p>
    <w:p>
      <w:pPr>
        <w:pStyle w:val="Heading2"/>
        <w:keepNext/>
      </w:pPr>
      <w:r>
        <w:rPr>
          <w:rFonts w:ascii="Carlito" w:hAnsi="Carlito" w:eastAsia="Carlito" w:cs="Carlito"/>
        </w:rPr>
        <w:t>The twenty-four-edge witness</w:t>
      </w:r>
    </w:p>
    <w:p>
      <w:pPr>
        <w:pStyle w:val="BodyText"/>
      </w:pPr>
      <w:r>
        <w:rPr>
          <w:rFonts w:ascii="Noto Serif" w:hAnsi="Noto Serif" w:eastAsia="Noto Serif" w:cs="Noto Serif"/>
        </w:rPr>
        <w:t>A flat antipodal twist in the quaternary direction gives</w:t>
      </w:r>
    </w:p>
    <w:p>
      <w:pPr>
        <w:pStyle w:val="DisplayMath"/>
        <w:keepLines/>
        <w:widowControl/>
      </w:pPr>
      <w:r>
        <w:rPr>
          <w:rFonts w:ascii="STIX Math" w:hAnsi="STIX Math" w:eastAsia="STIX Math" w:cs="STIX Math"/>
        </w:rPr>
        <w:t>Bclass=18,      Bpositive=12+6√2,      Bpairwise=24,      λmin=2−√2.</w:t>
      </w:r>
    </w:p>
    <w:p>
      <w:pPr>
        <w:pStyle w:val="BodyText"/>
      </w:pPr>
      <w:r>
        <w:rPr>
          <w:rFonts w:ascii="Noto Serif" w:hAnsi="Noto Serif" w:eastAsia="Noto Serif" w:cs="Noto Serif"/>
        </w:rPr>
        <w:t>The same holonomy controls the static score and the restoration gap. This dual measurement is the finite calibration of the Hessian reciprocity derived from the completion rate function.</w:t>
      </w:r>
    </w:p>
    <w:p>
      <w:pPr>
        <w:pStyle w:val="Heading2"/>
        <w:keepNext/>
      </w:pPr>
      <w:r>
        <w:rPr>
          <w:rFonts w:ascii="Carlito" w:hAnsi="Carlito" w:eastAsia="Carlito" w:cs="Carlito"/>
        </w:rPr>
        <w:t>The nonlinear divider law</w:t>
      </w:r>
    </w:p>
    <w:p>
      <w:pPr>
        <w:pStyle w:val="BodyText"/>
      </w:pPr>
      <w:r>
        <w:rPr>
          <w:rFonts w:ascii="Noto Serif" w:hAnsi="Noto Serif" w:eastAsia="Noto Serif" w:cs="Noto Serif"/>
        </w:rPr>
        <w:t>The visible diagonal angle θ=4θ₃+3θ₄ is a compound projection. At finite refinement, the hidden holonomies satisfy</w:t>
      </w:r>
    </w:p>
    <w:p>
      <w:pPr>
        <w:pStyle w:val="DisplayMath"/>
        <w:keepLines/>
        <w:widowControl/>
      </w:pPr>
      <w:r>
        <w:rPr>
          <w:rFonts w:ascii="STIX Math" w:hAnsi="STIX Math" w:eastAsia="STIX Math" w:cs="STIX Math"/>
        </w:rPr>
        <w:t>κ₃ sin x = κ₄ sin y,      x+y=θ/(12n).</w:t>
      </w:r>
    </w:p>
    <w:p>
      <w:pPr>
        <w:pStyle w:val="BodyText"/>
      </w:pPr>
      <w:r>
        <w:rPr>
          <w:rFonts w:ascii="Noto Serif" w:hAnsi="Noto Serif" w:eastAsia="Noto Serif" w:cs="Noto Serif"/>
        </w:rPr>
        <w:t>An imposed action obstruction partitions itself between the two primitive completion directions according to their nonlinear stiffnesses.</w:t>
      </w:r>
    </w:p>
    <w:p>
      <w:pPr>
        <w:pStyle w:val="Heading1"/>
        <w:keepNext/>
      </w:pPr>
      <w:r>
        <w:rPr>
          <w:rFonts w:ascii="Carlito" w:hAnsi="Carlito" w:eastAsia="Carlito" w:cs="Carlito"/>
        </w:rPr>
        <w:t>13. The topological action branch</w:t>
      </w:r>
    </w:p>
    <w:p>
      <w:pPr>
        <w:pStyle w:val="BodyText"/>
      </w:pPr>
      <w:r>
        <w:rPr>
          <w:rFonts w:ascii="Noto Serif" w:hAnsi="Noto Serif" w:eastAsia="Noto Serif" w:cs="Noto Serif"/>
        </w:rPr>
        <w:t>Version 0.14 isolated one conditional gate: a physical mixed-completion associator must equal the local quarter-turn on a separate U(1) comparison line. If</w:t>
      </w:r>
    </w:p>
    <w:p>
      <w:pPr>
        <w:pStyle w:val="DisplayMath"/>
        <w:keepLines/>
        <w:widowControl/>
      </w:pPr>
      <w:r>
        <w:t>Assoc_f=exp(±iπ/2).</w:t>
      </w:r>
    </w:p>
    <w:p>
      <w:pPr>
        <w:pStyle w:val="BodyText"/>
      </w:pPr>
      <w:r>
        <w:rPr>
          <w:rFonts w:ascii="Noto Serif" w:hAnsi="Noto Serif" w:eastAsia="Noto Serif" w:cs="Noto Serif"/>
        </w:rPr>
        <w:t>on all twelve coherently oriented coarse faces, then</w:t>
      </w:r>
    </w:p>
    <w:p>
      <w:pPr>
        <w:pStyle w:val="DisplayMath"/>
        <w:keepLines/>
        <w:widowControl/>
      </w:pPr>
      <w:r>
        <w:t>c₁=(1/2π)Σ_f arg(Assoc_f)=±3.</w:t>
      </w:r>
    </w:p>
    <w:p>
      <w:pPr>
        <w:pStyle w:val="BodyText"/>
      </w:pPr>
      <w:r>
        <w:rPr>
          <w:rFonts w:ascii="Noto Serif" w:hAnsi="Noto Serif" w:eastAsia="Noto Serif" w:cs="Noto Serif"/>
        </w:rPr>
        <w:t>A unit-charge two-dimensional Dirac operator then has index ±3. This established implication remains conditional on deriving the associator phase from the actual joining calculus.</w:t>
      </w:r>
    </w:p>
    <w:p>
      <w:pPr>
        <w:pStyle w:val="Heading2"/>
        <w:keepNext/>
      </w:pPr>
      <w:r>
        <w:rPr>
          <w:rFonts w:ascii="Carlito" w:hAnsi="Carlito" w:eastAsia="Carlito" w:cs="Carlito"/>
        </w:rPr>
        <w:t>Action and metric consequences</w:t>
      </w:r>
    </w:p>
    <w:p>
      <w:pPr>
        <w:pStyle w:val="BodyText"/>
      </w:pPr>
      <w:r>
        <w:rPr>
          <w:rFonts w:ascii="Noto Serif" w:hAnsi="Noto Serif" w:eastAsia="Noto Serif" w:cs="Noto Serif"/>
        </w:rPr>
        <w:t>The quantum geometric tensor now adds two independent consequences:</w:t>
      </w:r>
    </w:p>
    <w:p>
      <w:pPr>
        <w:pStyle w:val="DisplayMath"/>
        <w:keepLines/>
        <w:widowControl/>
      </w:pPr>
      <w:r>
        <w:rPr>
          <w:rFonts w:ascii="STIX Math" w:hAnsi="STIX Math" w:eastAsia="STIX Math" w:cs="STIX Math"/>
        </w:rPr>
        <w:t>∫Σℏℱ = ±3h,      ∫Σ√det g d²λ ≥ 3π.</w:t>
      </w:r>
    </w:p>
    <w:p>
      <w:pPr>
        <w:pStyle w:val="BodyText"/>
      </w:pPr>
      <w:r>
        <w:rPr>
          <w:rFonts w:ascii="Noto Serif" w:hAnsi="Noto Serif" w:eastAsia="Noto Serif" w:cs="Noto Serif"/>
        </w:rPr>
        <w:t>In the ideal minimally binary orientation-coherent branch, equality holds in the metric bound. A zero-mode multiplicity without the corresponding geometric action area cannot be the minimal relational realization.</w:t>
      </w:r>
    </w:p>
    <w:p>
      <w:pPr>
        <w:pStyle w:val="Heading2"/>
        <w:keepNext/>
      </w:pPr>
      <w:r>
        <w:rPr>
          <w:rFonts w:ascii="Carlito" w:hAnsi="Carlito" w:eastAsia="Carlito" w:cs="Carlito"/>
        </w:rPr>
        <w:t>Conditional Weyl extension</w:t>
      </w:r>
    </w:p>
    <w:p>
      <w:pPr>
        <w:pStyle w:val="BodyText"/>
      </w:pPr>
      <w:r>
        <w:rPr>
          <w:rFonts w:ascii="Noto Serif" w:hAnsi="Noto Serif" w:eastAsia="Noto Serif" w:cs="Noto Serif"/>
        </w:rPr>
        <w:t>If the two refined completion directions are physically canonical translations with increments Δq and Δp, their central extension obeys</w:t>
      </w:r>
    </w:p>
    <w:p>
      <w:pPr>
        <w:pStyle w:val="DisplayMath"/>
        <w:keepLines/>
        <w:widowControl/>
      </w:pPr>
      <w:r>
        <w:rPr>
          <w:rFonts w:ascii="STIX Math" w:hAnsi="STIX Math" w:eastAsia="STIX Math" w:cs="STIX Math"/>
        </w:rPr>
        <w:t>Tq(Δq)Tp(Δp)=exp(iΔqΔp/ℏ)Tp(Δp)Tq(Δq).</w:t>
      </w:r>
    </w:p>
    <w:p>
      <w:pPr>
        <w:pStyle w:val="BodyText"/>
      </w:pPr>
      <w:r>
        <w:rPr>
          <w:rFonts w:ascii="Noto Serif" w:hAnsi="Noto Serif" w:eastAsia="Noto Serif" w:cs="Noto Serif"/>
        </w:rPr>
        <w:t>Matching the refined plaquette phase gives the Weyl–Heisenberg commutator in the continuum limit. This conclusion requires a canonical-soldering theorem identifying the abstract completion directions with conjugate physical translations. The Chern number alone does not supply that identification.</w:t>
      </w:r>
    </w:p>
    <w:p>
      <w:pPr>
        <w:pStyle w:val="Heading2"/>
        <w:keepNext/>
      </w:pPr>
      <w:r>
        <w:rPr>
          <w:rFonts w:ascii="Carlito" w:hAnsi="Carlito" w:eastAsia="Carlito" w:cs="Carlito"/>
        </w:rPr>
        <w:t>Refinement</w:t>
      </w:r>
    </w:p>
    <w:p>
      <w:pPr>
        <w:pStyle w:val="BodyText"/>
      </w:pPr>
      <w:r>
        <w:rPr>
          <w:rFonts w:ascii="Noto Serif" w:hAnsi="Noto Serif" w:eastAsia="Noto Serif" w:cs="Noto Serif"/>
        </w:rPr>
        <w:t>To preserve c₁=3 under Xn=C₃n×C₄n, the uniform microface phase must scale as</w:t>
      </w:r>
    </w:p>
    <w:p>
      <w:pPr>
        <w:pStyle w:val="DisplayMath"/>
        <w:keepLines/>
        <w:widowControl/>
      </w:pPr>
      <w:r>
        <w:rPr>
          <w:rFonts w:ascii="STIX Math" w:hAnsi="STIX Math" w:eastAsia="STIX Math" w:cs="STIX Math"/>
        </w:rPr>
        <w:t>φn=π/(2n²).</w:t>
      </w:r>
    </w:p>
    <w:p>
      <w:pPr>
        <w:pStyle w:val="BodyText"/>
      </w:pPr>
      <w:r>
        <w:rPr>
          <w:rFonts w:ascii="Noto Serif" w:hAnsi="Noto Serif" w:eastAsia="Noto Serif" w:cs="Noto Serif"/>
        </w:rPr>
        <w:t>The coarse quarter-turn is integrated flux. Refinement delocalizes it while preserving total action and topological index.</w:t>
      </w:r>
    </w:p>
    <w:p>
      <w:pPr>
        <w:pStyle w:val="Heading1"/>
        <w:keepNext/>
      </w:pPr>
      <w:r>
        <w:rPr>
          <w:rFonts w:ascii="Carlito" w:hAnsi="Carlito" w:eastAsia="Carlito" w:cs="Carlito"/>
        </w:rPr>
        <w:t>14. Thermodynamics and support response from one functional</w:t>
      </w:r>
    </w:p>
    <w:p>
      <w:pPr>
        <w:pStyle w:val="BodyText"/>
      </w:pPr>
      <w:r>
        <w:rPr>
          <w:rFonts w:ascii="Noto Serif" w:hAnsi="Noto Serif" w:eastAsia="Noto Serif" w:cs="Noto Serif"/>
        </w:rPr>
        <w:t>Euclidean continuation turns the process phase into a statistical weight:</w:t>
      </w:r>
    </w:p>
    <w:p>
      <w:pPr>
        <w:pStyle w:val="DisplayMath"/>
        <w:keepLines/>
        <w:widowControl/>
      </w:pPr>
      <w:r>
        <w:rPr>
          <w:rFonts w:ascii="STIX Math" w:hAnsi="STIX Math" w:eastAsia="STIX Math" w:cs="STIX Math"/>
        </w:rPr>
        <w:t>exp(iS/ℏ) → exp(−IE/ℏ).</w:t>
      </w:r>
    </w:p>
    <w:p>
      <w:pPr>
        <w:pStyle w:val="BodyText"/>
      </w:pPr>
      <w:r>
        <w:rPr>
          <w:rFonts w:ascii="Noto Serif" w:hAnsi="Noto Serif" w:eastAsia="Noto Serif" w:cs="Noto Serif"/>
        </w:rPr>
        <w:t>Let</w:t>
      </w:r>
    </w:p>
    <w:p>
      <w:pPr>
        <w:pStyle w:val="DisplayMath"/>
        <w:keepLines/>
        <w:widowControl/>
      </w:pPr>
      <w:r>
        <w:rPr>
          <w:rFonts w:ascii="STIX Math" w:hAnsi="STIX Math" w:eastAsia="STIX Math" w:cs="STIX Math"/>
        </w:rPr>
        <w:t>Z[g,U,β]=∫Comp exp(−ΘE[Ω;g,U,β]) 𝒟Ω.</w:t>
      </w:r>
    </w:p>
    <w:p>
      <w:pPr>
        <w:pStyle w:val="BodyText"/>
      </w:pPr>
      <w:r>
        <w:rPr>
          <w:rFonts w:ascii="Noto Serif" w:hAnsi="Noto Serif" w:eastAsia="Noto Serif" w:cs="Noto Serif"/>
        </w:rPr>
        <w:t>Thermal, gauge, and support responses are derivatives of the same completion functional:</w:t>
      </w:r>
    </w:p>
    <w:p>
      <w:pPr>
        <w:pStyle w:val="DisplayMath"/>
        <w:keepLines/>
        <w:widowControl/>
      </w:pPr>
      <w:r>
        <w:rPr>
          <w:rFonts w:ascii="STIX Math" w:hAnsi="STIX Math" w:eastAsia="STIX Math" w:cs="STIX Math"/>
        </w:rPr>
        <w:t>Stherm=(1−β∂β)log Z,      Jr=−∂F/∂φr,      Tμν=−(2/√|g|) δlog Z/δgμν.</w:t>
      </w:r>
    </w:p>
    <w:p>
      <w:pPr>
        <w:pStyle w:val="BodyText"/>
      </w:pPr>
      <w:r>
        <w:rPr>
          <w:rFonts w:ascii="Noto Serif" w:hAnsi="Noto Serif" w:eastAsia="Noto Serif" w:cs="Noto Serif"/>
        </w:rPr>
        <w:t>Thermodynamics changes occupation and thermal periodicity while treating the support as fixed. Gravity changes the support geometry that determines which completions remain lawful. Spectral-action methods show that a selected Dirac spectrum can generate gauge, scalar, and gravitational terms; the relational task is to derive the operator and its completion kernel rather than assume the spectral data [11].</w:t>
      </w:r>
    </w:p>
    <w:p>
      <w:pPr>
        <w:pStyle w:val="Heading2"/>
        <w:keepNext/>
      </w:pPr>
      <w:r>
        <w:rPr>
          <w:rFonts w:ascii="Carlito" w:hAnsi="Carlito" w:eastAsia="Carlito" w:cs="Carlito"/>
        </w:rPr>
        <w:t>Entropy and area</w:t>
      </w:r>
    </w:p>
    <w:p>
      <w:pPr>
        <w:pStyle w:val="BodyText"/>
      </w:pPr>
      <w:r>
        <w:rPr>
          <w:rFonts w:ascii="Noto Serif" w:hAnsi="Noto Serif" w:eastAsia="Noto Serif" w:cs="Noto Serif"/>
        </w:rPr>
        <w:t>A completion entropy can be defined only after a physical measure on the completion fibre is derived:</w:t>
      </w:r>
    </w:p>
    <w:p>
      <w:pPr>
        <w:pStyle w:val="DisplayMath"/>
        <w:keepLines/>
        <w:widowControl/>
      </w:pPr>
      <w:r>
        <w:rPr>
          <w:rFonts w:ascii="STIX Math" w:hAnsi="STIX Math" w:eastAsia="STIX Math" w:cs="STIX Math"/>
        </w:rPr>
        <w:t>ΣC(R)=log μC[Comp(R)].</w:t>
      </w:r>
    </w:p>
    <w:p>
      <w:pPr>
        <w:pStyle w:val="BodyText"/>
      </w:pPr>
      <w:r>
        <w:rPr>
          <w:rFonts w:ascii="Noto Serif" w:hAnsi="Noto Serif" w:eastAsia="Noto Serif" w:cs="Noto Serif"/>
        </w:rPr>
        <w:t>If a local horizon theorem equates the variation of this entropy with heat flow for every local causal horizon, Jacobson’s route can produce Einstein’s equation. The missing relational contribution is the derivation of the entropy density and the physical area from the support-forming completion geometry [12].</w:t>
      </w:r>
    </w:p>
    <w:p>
      <w:pPr>
        <w:pStyle w:val="Heading2"/>
        <w:keepNext/>
      </w:pPr>
      <w:r>
        <w:rPr>
          <w:rFonts w:ascii="Carlito" w:hAnsi="Carlito" w:eastAsia="Carlito" w:cs="Carlito"/>
        </w:rPr>
        <w:t>Classicality and gravity remain distinct</w:t>
      </w:r>
    </w:p>
    <w:p>
      <w:pPr>
        <w:pStyle w:val="BodyText"/>
      </w:pPr>
      <w:r>
        <w:rPr>
          <w:rFonts w:ascii="Noto Serif" w:hAnsi="Noto Serif" w:eastAsia="Noto Serif" w:cs="Noto Serif"/>
        </w:rPr>
        <w:t>Large S/ℏ gives stationary-phase classicality even when gravity is negligible. Weak gravitational coupling is a separate statement about the stiffness of support relative to matter action. The action architecture separates macroscopic phase winding from the gravitational hierarchy.</w:t>
      </w:r>
    </w:p>
    <w:p>
      <w:pPr>
        <w:pStyle w:val="Heading1"/>
        <w:keepNext/>
      </w:pPr>
      <w:r>
        <w:rPr>
          <w:rFonts w:ascii="Carlito" w:hAnsi="Carlito" w:eastAsia="Carlito" w:cs="Carlito"/>
        </w:rPr>
        <w:t>15. Direct predictions and failure conditions</w:t>
      </w:r>
    </w:p>
    <w:p>
      <w:pPr>
        <w:pStyle w:val="Heading2"/>
        <w:keepNext/>
      </w:pPr>
      <w:r>
        <w:rPr>
          <w:rFonts w:ascii="Carlito" w:hAnsi="Carlito" w:eastAsia="Carlito" w:cs="Carlito"/>
        </w:rPr>
        <w:t>Metric–curvature equality</w:t>
      </w:r>
    </w:p>
    <w:p>
      <w:pPr>
        <w:pStyle w:val="BodyText"/>
      </w:pPr>
      <w:r>
        <w:rPr>
          <w:rFonts w:ascii="Noto Serif" w:hAnsi="Noto Serif" w:eastAsia="Noto Serif" w:cs="Noto Serif"/>
        </w:rPr>
        <w:t>Any claimed minimal binary completion surface must satisfy</w:t>
      </w:r>
    </w:p>
    <w:p>
      <w:pPr>
        <w:pStyle w:val="DisplayMath"/>
        <w:keepLines/>
        <w:widowControl/>
      </w:pPr>
      <w:r>
        <w:rPr>
          <w:rFonts w:ascii="STIX Math" w:hAnsi="STIX Math" w:eastAsia="STIX Math" w:cs="STIX Math"/>
        </w:rPr>
        <w:t>det g=(ℱ₁₂/2)².</w:t>
      </w:r>
    </w:p>
    <w:p>
      <w:pPr>
        <w:pStyle w:val="BodyText"/>
      </w:pPr>
      <w:r>
        <w:rPr>
          <w:rFonts w:ascii="Noto Serif" w:hAnsi="Noto Serif" w:eastAsia="Noto Serif" w:cs="Noto Serif"/>
        </w:rPr>
        <w:t>Strict inequality reveals additional active channels, unresolved sectors, or a nonminimal embedding.</w:t>
      </w:r>
    </w:p>
    <w:p>
      <w:pPr>
        <w:pStyle w:val="Heading2"/>
        <w:keepNext/>
      </w:pPr>
      <w:r>
        <w:rPr>
          <w:rFonts w:ascii="Carlito" w:hAnsi="Carlito" w:eastAsia="Carlito" w:cs="Carlito"/>
        </w:rPr>
        <w:t>Topological volume</w:t>
      </w:r>
    </w:p>
    <w:p>
      <w:pPr>
        <w:pStyle w:val="BodyText"/>
      </w:pPr>
      <w:r>
        <w:rPr>
          <w:rFonts w:ascii="Noto Serif" w:hAnsi="Noto Serif" w:eastAsia="Noto Serif" w:cs="Noto Serif"/>
        </w:rPr>
        <w:t>Any minimal orientation-coherent sector with Chern number c₁ must satisfy</w:t>
      </w:r>
    </w:p>
    <w:p>
      <w:pPr>
        <w:pStyle w:val="DisplayMath"/>
        <w:keepLines/>
        <w:widowControl/>
      </w:pPr>
      <w:r>
        <w:rPr>
          <w:rFonts w:ascii="STIX Math" w:hAnsi="STIX Math" w:eastAsia="STIX Math" w:cs="STIX Math"/>
        </w:rPr>
        <w:t>∫Σ√det g d²λ=π|c₁|,      ∫Σℏℱ=h c₁.</w:t>
      </w:r>
    </w:p>
    <w:p>
      <w:pPr>
        <w:pStyle w:val="BodyText"/>
      </w:pPr>
      <w:r>
        <w:rPr>
          <w:rFonts w:ascii="Noto Serif" w:hAnsi="Noto Serif" w:eastAsia="Noto Serif" w:cs="Noto Serif"/>
        </w:rPr>
        <w:t>For the conditional Chern-three branch these values are 3π and 3h.</w:t>
      </w:r>
    </w:p>
    <w:p>
      <w:pPr>
        <w:pStyle w:val="Heading2"/>
        <w:keepNext/>
      </w:pPr>
      <w:r>
        <w:rPr>
          <w:rFonts w:ascii="Carlito" w:hAnsi="Carlito" w:eastAsia="Carlito" w:cs="Carlito"/>
        </w:rPr>
        <w:t>Static–dynamic duality</w:t>
      </w:r>
    </w:p>
    <w:p>
      <w:pPr>
        <w:pStyle w:val="BodyText"/>
      </w:pPr>
      <w:r>
        <w:rPr>
          <w:rFonts w:ascii="Noto Serif" w:hAnsi="Noto Serif" w:eastAsia="Noto Serif" w:cs="Noto Serif"/>
        </w:rPr>
        <w:t>The Hessian of the measured response functional must be the inverse Hessian of the inferred completion rate function at dual points. A mismatch falsifies the one-rate-function description even when the static bound is reproduced.</w:t>
      </w:r>
    </w:p>
    <w:p>
      <w:pPr>
        <w:pStyle w:val="Heading2"/>
        <w:keepNext/>
      </w:pPr>
      <w:r>
        <w:rPr>
          <w:rFonts w:ascii="Carlito" w:hAnsi="Carlito" w:eastAsia="Carlito" w:cs="Carlito"/>
        </w:rPr>
        <w:t>Refinement</w:t>
      </w:r>
    </w:p>
    <w:p>
      <w:pPr>
        <w:pStyle w:val="BodyText"/>
      </w:pPr>
      <w:r>
        <w:rPr>
          <w:rFonts w:ascii="Noto Serif" w:hAnsi="Noto Serif" w:eastAsia="Noto Serif" w:cs="Noto Serif"/>
        </w:rPr>
        <w:t>Face kernels claimed to represent one autonomous completion law must form a convolution semigroup under subdivision. Failure of the gluing equation means that coarse and fine actions do not describe one object.</w:t>
      </w:r>
    </w:p>
    <w:p>
      <w:pPr>
        <w:pStyle w:val="Heading2"/>
        <w:keepNext/>
      </w:pPr>
      <w:r>
        <w:rPr>
          <w:rFonts w:ascii="Carlito" w:hAnsi="Carlito" w:eastAsia="Carlito" w:cs="Carlito"/>
        </w:rPr>
        <w:t>Gauge branch</w:t>
      </w:r>
    </w:p>
    <w:p>
      <w:pPr>
        <w:pStyle w:val="BodyText"/>
      </w:pPr>
      <w:r>
        <w:rPr>
          <w:rFonts w:ascii="Noto Serif" w:hAnsi="Noto Serif" w:eastAsia="Noto Serif" w:cs="Noto Serif"/>
        </w:rPr>
        <w:t>A centre-neutral local Gaussian completion cost must produce a curvature-squared action with one inverse stiffness matrix. Independent kinetic and response matrices falsify the minimal constitutive dual.</w:t>
      </w:r>
    </w:p>
    <w:p>
      <w:pPr>
        <w:pStyle w:val="Heading2"/>
        <w:keepNext/>
      </w:pPr>
      <w:r>
        <w:rPr>
          <w:rFonts w:ascii="Carlito" w:hAnsi="Carlito" w:eastAsia="Carlito" w:cs="Carlito"/>
        </w:rPr>
        <w:t>Support branch</w:t>
      </w:r>
    </w:p>
    <w:p>
      <w:pPr>
        <w:pStyle w:val="BodyText"/>
      </w:pPr>
      <w:r>
        <w:rPr>
          <w:rFonts w:ascii="Noto Serif" w:hAnsi="Noto Serif" w:eastAsia="Noto Serif" w:cs="Noto Serif"/>
        </w:rPr>
        <w:t>A gravitational completion must produce locally simple bivectors and globally cross-simple data reconstructible from one tetrad. Locally geometric faces that admit no common support geometry falsify autonomous support closure.</w:t>
      </w:r>
    </w:p>
    <w:p>
      <w:pPr>
        <w:pStyle w:val="Heading2"/>
        <w:keepNext/>
      </w:pPr>
      <w:r>
        <w:rPr>
          <w:rFonts w:ascii="Carlito" w:hAnsi="Carlito" w:eastAsia="Carlito" w:cs="Carlito"/>
        </w:rPr>
        <w:t>Universal action phase</w:t>
      </w:r>
    </w:p>
    <w:p>
      <w:pPr>
        <w:pStyle w:val="BodyText"/>
      </w:pPr>
      <w:r>
        <w:rPr>
          <w:rFonts w:ascii="Noto Serif" w:hAnsi="Noto Serif" w:eastAsia="Noto Serif" w:cs="Noto Serif"/>
        </w:rPr>
        <w:t>Any interaction that operationally compares two sectors must preserve one process-phase circumference. A reproducible sector-dependent fundamental ℏ would falsify the one-phase assembly.</w:t>
      </w:r>
    </w:p>
    <w:p>
      <w:pPr>
        <w:pStyle w:val="Heading1"/>
        <w:keepNext/>
      </w:pPr>
      <w:r>
        <w:rPr>
          <w:rFonts w:ascii="Carlito" w:hAnsi="Carlito" w:eastAsia="Carlito" w:cs="Carlito"/>
        </w:rPr>
        <w:t>16. Reduction and claim ledger</w:t>
      </w:r>
    </w:p>
    <w:p>
      <w:pPr>
        <w:pStyle w:val="Heading2"/>
        <w:keepNext/>
      </w:pPr>
      <w:r>
        <w:rPr>
          <w:rFonts w:ascii="Carlito" w:hAnsi="Carlito" w:eastAsia="Carlito" w:cs="Carlito"/>
        </w:rPr>
        <w:t>Inherited from v0.14</w:t>
      </w:r>
    </w:p>
    <w:p>
      <w:pPr>
        <w:pStyle w:val="BodyText"/>
      </w:pPr>
      <w:r>
        <w:rPr>
          <w:rFonts w:ascii="Noto Serif" w:hAnsi="Noto Serif" w:eastAsia="Noto Serif" w:cs="Noto Serif"/>
        </w:rPr>
        <w:t>The local diameter gives orthogonal enacted and remaining channels. The alternating binary join supplies relation-only actuality, the compact observer geometry, and the noncompact spinor relation group. The product completion complex has topology (1,2,1), an exact flat two-holonomy spectrum, a toroidal static–dynamic witness, a finite refinement limit, and a sharply gated Chern-three branch.</w:t>
      </w:r>
    </w:p>
    <w:p>
      <w:pPr>
        <w:pStyle w:val="Heading2"/>
        <w:keepNext/>
      </w:pPr>
      <w:r>
        <w:rPr>
          <w:rFonts w:ascii="Carlito" w:hAnsi="Carlito" w:eastAsia="Carlito" w:cs="Carlito"/>
        </w:rPr>
        <w:t>Derived or assembled in v0.15</w:t>
      </w:r>
    </w:p>
    <w:p>
      <w:pPr>
        <w:pStyle w:val="BodyText"/>
      </w:pPr>
      <w:r>
        <w:rPr>
          <w:rFonts w:ascii="Noto Serif" w:hAnsi="Noto Serif" w:eastAsia="Noto Serif" w:cs="Noto Serif"/>
        </w:rPr>
        <w:t>The quantum geometric tensor unifies positive completion metric and oriented comparison curvature. The minimal binary sector obeys det g=(ℱ/2)² and the integrated topological metric bound. Composable additive process lifts have a universal U(1) character exp(iS/ℏ). Completion amplitudes are naturally integrals over lawful global completions. Hard closure support functions and soft field Lagrangians are dual evaluations of one completion geometry. A first-order B–F action yields curvature and flux equations. Centre-neutral quadratic completion gives Yang–Mills kinetics. A nonzero simple-bivector orbit gives the Palatini–Plebanski gravitational branch. Exact face refinement is governed by convolution semigroups; local isotropic diffusion selects the heat kernel.</w:t>
      </w:r>
    </w:p>
    <w:p>
      <w:pPr>
        <w:pStyle w:val="Heading2"/>
        <w:keepNext/>
      </w:pPr>
      <w:r>
        <w:rPr>
          <w:rFonts w:ascii="Carlito" w:hAnsi="Carlito" w:eastAsia="Carlito" w:cs="Carlito"/>
        </w:rPr>
        <w:t>Assembly-level foundational claims</w:t>
      </w:r>
    </w:p>
    <w:p>
      <w:pPr>
        <w:pStyle w:val="BodyText"/>
      </w:pPr>
      <w:r>
        <w:rPr>
          <w:rFonts w:ascii="Noto Serif" w:hAnsi="Noto Serif" w:eastAsia="Noto Serif" w:cs="Noto Serif"/>
        </w:rPr>
        <w:t>Probability geometry and action geometry are the metric and symplectic parts of one relational carrier. Gauge and gravity are centre-neutral and support-forming constitutive phases of one completion–curvature duality. Quantum bounds and field actions are hard and soft transforms of one closure body. Global objecthood is the candidate origin of cross-simplicity.</w:t>
      </w:r>
    </w:p>
    <w:p>
      <w:pPr>
        <w:pStyle w:val="Heading2"/>
        <w:keepNext/>
      </w:pPr>
      <w:r>
        <w:rPr>
          <w:rFonts w:ascii="Carlito" w:hAnsi="Carlito" w:eastAsia="Carlito" w:cs="Carlito"/>
        </w:rPr>
        <w:t>Conditional</w:t>
      </w:r>
    </w:p>
    <w:p>
      <w:pPr>
        <w:pStyle w:val="BodyText"/>
      </w:pPr>
      <w:r>
        <w:rPr>
          <w:rFonts w:ascii="Noto Serif" w:hAnsi="Noto Serif" w:eastAsia="Noto Serif" w:cs="Noto Serif"/>
        </w:rPr>
        <w:t>The mixed associator quarter-turn would give c₁=±3, action flux ±3h, a metric-area bound 3π, and three net chiral zero modes. A canonical-soldering theorem would turn the refined projective phase into the Weyl commutator.</w:t>
      </w:r>
    </w:p>
    <w:p>
      <w:pPr>
        <w:pStyle w:val="Heading2"/>
        <w:keepNext/>
      </w:pPr>
      <w:r>
        <w:rPr>
          <w:rFonts w:ascii="Carlito" w:hAnsi="Carlito" w:eastAsia="Carlito" w:cs="Carlito"/>
        </w:rPr>
        <w:t>Open</w:t>
      </w:r>
    </w:p>
    <w:p>
      <w:pPr>
        <w:pStyle w:val="BodyText"/>
      </w:pPr>
      <w:r>
        <w:rPr>
          <w:rFonts w:ascii="Noto Serif" w:hAnsi="Noto Serif" w:eastAsia="Noto Serif" w:cs="Noto Serif"/>
        </w:rPr>
        <w:t>Physical completeness of the local alternatives, compact joint renewal, one universal phase bundle, the completion measure, frame-complete records, the exact rate function, the realized comparison group and matter representations, support soldering, cross-simplicity, Lorentzian signature, coupling values, mass spectra, anomaly cancellation, confinement, the associator theorem, and the gravitational entropy density remain open.</w:t>
      </w:r>
    </w:p>
    <w:p>
      <w:pPr>
        <w:pStyle w:val="Heading1"/>
        <w:keepNext/>
      </w:pPr>
      <w:r>
        <w:rPr>
          <w:rFonts w:ascii="Carlito" w:hAnsi="Carlito" w:eastAsia="Carlito" w:cs="Carlito"/>
        </w:rPr>
        <w:t>17. The theorem programme</w:t>
      </w:r>
    </w:p>
    <w:p>
      <w:pPr>
        <w:pStyle w:val="Heading2"/>
        <w:keepNext/>
      </w:pPr>
      <w:r>
        <w:rPr>
          <w:rFonts w:ascii="Carlito" w:hAnsi="Carlito" w:eastAsia="Carlito" w:cs="Carlito"/>
        </w:rPr>
        <w:t>Physical-alternatives theorem</w:t>
      </w:r>
    </w:p>
    <w:p>
      <w:pPr>
        <w:pStyle w:val="BodyText"/>
      </w:pPr>
      <w:r>
        <w:rPr>
          <w:rFonts w:ascii="Noto Serif" w:hAnsi="Noto Serif" w:eastAsia="Noto Serif" w:cs="Noto Serif"/>
        </w:rPr>
        <w:t>Prove that enacted and remaining channels form a complete coherently recombinable alternative carrier under every lawful local interaction.</w:t>
      </w:r>
    </w:p>
    <w:p>
      <w:pPr>
        <w:pStyle w:val="Heading2"/>
        <w:keepNext/>
      </w:pPr>
      <w:r>
        <w:rPr>
          <w:rFonts w:ascii="Carlito" w:hAnsi="Carlito" w:eastAsia="Carlito" w:cs="Carlito"/>
        </w:rPr>
        <w:t>Completion–Kähler theorem</w:t>
      </w:r>
    </w:p>
    <w:p>
      <w:pPr>
        <w:pStyle w:val="BodyText"/>
      </w:pPr>
      <w:r>
        <w:rPr>
          <w:rFonts w:ascii="Noto Serif" w:hAnsi="Noto Serif" w:eastAsia="Noto Serif" w:cs="Noto Serif"/>
        </w:rPr>
        <w:t>Starting from renewal, generated otherness, and autonomous joining, derive one positive metric g, one compatible complex structure J, and one closed two-form ω=g(J·,·). Recover the quantum geometric tensor without importing Hilbert geometry.</w:t>
      </w:r>
    </w:p>
    <w:p>
      <w:pPr>
        <w:pStyle w:val="Heading2"/>
        <w:keepNext/>
      </w:pPr>
      <w:r>
        <w:rPr>
          <w:rFonts w:ascii="Carlito" w:hAnsi="Carlito" w:eastAsia="Carlito" w:cs="Carlito"/>
        </w:rPr>
        <w:t>Universal action-character theorem</w:t>
      </w:r>
    </w:p>
    <w:p>
      <w:pPr>
        <w:pStyle w:val="BodyText"/>
      </w:pPr>
      <w:r>
        <w:rPr>
          <w:rFonts w:ascii="Noto Serif" w:hAnsi="Noto Serif" w:eastAsia="Noto Serif" w:cs="Noto Serif"/>
        </w:rPr>
        <w:t>Derive one continuous U(1) character for every composable process and prove that private action circumferences are incompatible with autonomous joining.</w:t>
      </w:r>
    </w:p>
    <w:p>
      <w:pPr>
        <w:pStyle w:val="Heading2"/>
        <w:keepNext/>
      </w:pPr>
      <w:r>
        <w:rPr>
          <w:rFonts w:ascii="Carlito" w:hAnsi="Carlito" w:eastAsia="Carlito" w:cs="Carlito"/>
        </w:rPr>
        <w:t>Completion-rate theorem</w:t>
      </w:r>
    </w:p>
    <w:p>
      <w:pPr>
        <w:pStyle w:val="BodyText"/>
      </w:pPr>
      <w:r>
        <w:rPr>
          <w:rFonts w:ascii="Noto Serif" w:hAnsi="Noto Serif" w:eastAsia="Noto Serif" w:cs="Noto Serif"/>
        </w:rPr>
        <w:t>Construct IComp from the measure and stability of lawful completion fibres. Show when its support function yields correlation bounds and when its convex dual yields local field dynamics.</w:t>
      </w:r>
    </w:p>
    <w:p>
      <w:pPr>
        <w:pStyle w:val="Heading2"/>
        <w:keepNext/>
      </w:pPr>
      <w:r>
        <w:rPr>
          <w:rFonts w:ascii="Carlito" w:hAnsi="Carlito" w:eastAsia="Carlito" w:cs="Carlito"/>
        </w:rPr>
        <w:t>Refinement-semigroup theorem</w:t>
      </w:r>
    </w:p>
    <w:p>
      <w:pPr>
        <w:pStyle w:val="BodyText"/>
      </w:pPr>
      <w:r>
        <w:rPr>
          <w:rFonts w:ascii="Noto Serif" w:hAnsi="Noto Serif" w:eastAsia="Noto Serif" w:cs="Noto Serif"/>
        </w:rPr>
        <w:t>Derive exact face convolution from fusion-tree independence and cross-resolution objecthood. Identify the additional premises that force the heat-kernel rather than a general central Lévy generator.</w:t>
      </w:r>
    </w:p>
    <w:p>
      <w:pPr>
        <w:pStyle w:val="Heading2"/>
        <w:keepNext/>
      </w:pPr>
      <w:r>
        <w:rPr>
          <w:rFonts w:ascii="Carlito" w:hAnsi="Carlito" w:eastAsia="Carlito" w:cs="Carlito"/>
        </w:rPr>
        <w:t>Gauge theorem</w:t>
      </w:r>
    </w:p>
    <w:p>
      <w:pPr>
        <w:pStyle w:val="BodyText"/>
      </w:pPr>
      <w:r>
        <w:rPr>
          <w:rFonts w:ascii="Noto Serif" w:hAnsi="Noto Serif" w:eastAsia="Noto Serif" w:cs="Noto Serif"/>
        </w:rPr>
        <w:t>Derive the compact comparison group, matter representations, and centre-neutral completion orbit. Recover the continuum Yang–Mills action and currents from the refinement-stable parent.</w:t>
      </w:r>
    </w:p>
    <w:p>
      <w:pPr>
        <w:pStyle w:val="Heading2"/>
        <w:keepNext/>
      </w:pPr>
      <w:r>
        <w:rPr>
          <w:rFonts w:ascii="Carlito" w:hAnsi="Carlito" w:eastAsia="Carlito" w:cs="Carlito"/>
        </w:rPr>
        <w:t>Support and cross-simplicity theorem</w:t>
      </w:r>
    </w:p>
    <w:p>
      <w:pPr>
        <w:pStyle w:val="BodyText"/>
      </w:pPr>
      <w:r>
        <w:rPr>
          <w:rFonts w:ascii="Noto Serif" w:hAnsi="Noto Serif" w:eastAsia="Noto Serif" w:cs="Noto Serif"/>
        </w:rPr>
        <w:t>Solder local completion directions to physical displacement and prove that autonomous global completion forces one tetrad-compatible bivector geometry. Recover the Einstein–Regge response and its normalization.</w:t>
      </w:r>
    </w:p>
    <w:p>
      <w:pPr>
        <w:pStyle w:val="Heading2"/>
        <w:keepNext/>
      </w:pPr>
      <w:r>
        <w:rPr>
          <w:rFonts w:ascii="Carlito" w:hAnsi="Carlito" w:eastAsia="Carlito" w:cs="Carlito"/>
        </w:rPr>
        <w:t>Topological action theorem</w:t>
      </w:r>
    </w:p>
    <w:p>
      <w:pPr>
        <w:pStyle w:val="BodyText"/>
      </w:pPr>
      <w:r>
        <w:rPr>
          <w:rFonts w:ascii="Noto Serif" w:hAnsi="Noto Serif" w:eastAsia="Noto Serif" w:cs="Noto Serif"/>
        </w:rPr>
        <w:t>Derive or refute the mixed-face associator ±i. If it survives, derive the completion line, Chern-three geometry, protected chiral index, and canonical-translation interpretation without inserting them independently.</w:t>
      </w:r>
    </w:p>
    <w:p>
      <w:pPr>
        <w:pStyle w:val="Heading2"/>
        <w:keepNext/>
      </w:pPr>
      <w:r>
        <w:rPr>
          <w:rFonts w:ascii="Carlito" w:hAnsi="Carlito" w:eastAsia="Carlito" w:cs="Carlito"/>
        </w:rPr>
        <w:t>Record and path-measure theorem</w:t>
      </w:r>
    </w:p>
    <w:p>
      <w:pPr>
        <w:pStyle w:val="BodyText"/>
      </w:pPr>
      <w:r>
        <w:rPr>
          <w:rFonts w:ascii="Noto Serif" w:hAnsi="Noto Serif" w:eastAsia="Noto Serif" w:cs="Noto Serif"/>
        </w:rPr>
        <w:t>Derive stable effects, Born weights, the completion-path measure, decoherence, and recovery from the same action geometry.</w:t>
      </w:r>
    </w:p>
    <w:p>
      <w:pPr>
        <w:pStyle w:val="Heading1"/>
        <w:keepNext/>
      </w:pPr>
      <w:r>
        <w:rPr>
          <w:rFonts w:ascii="Carlito" w:hAnsi="Carlito" w:eastAsia="Carlito" w:cs="Carlito"/>
        </w:rPr>
        <w:t>18. Status</w:t>
      </w:r>
    </w:p>
    <w:p>
      <w:pPr>
        <w:pStyle w:val="BodyText"/>
      </w:pPr>
      <w:r>
        <w:rPr>
          <w:rFonts w:ascii="Noto Serif" w:hAnsi="Noto Serif" w:eastAsia="Noto Serif" w:cs="Noto Serif"/>
        </w:rPr>
        <w:t>Version 0.15 changes the centre of the programme from finite gauge geometry to action from completion. The local relational cell already carried a positive chord and an oriented quarter-turn. The two-cycle completion complex supplied area and curvature. The quantum geometric tensor now shows that distance and phase are one projective geometry. Convex duality turns the closure body into a field Lagrangian. Exact refinement turns finite faces into a process law. The B–F parent makes gauge and support dynamics two constitutive branches.</w:t>
      </w:r>
    </w:p>
    <w:p>
      <w:pPr>
        <w:pStyle w:val="BodyText"/>
      </w:pPr>
      <w:r>
        <w:rPr>
          <w:rFonts w:ascii="Noto Serif" w:hAnsi="Noto Serif" w:eastAsia="Noto Serif" w:cs="Noto Serif"/>
        </w:rPr>
        <w:t>The strongest current chain is</w:t>
      </w:r>
    </w:p>
    <w:p>
      <w:pPr>
        <w:pStyle w:val="DisplayMath"/>
        <w:keepLines/>
        <w:widowControl/>
      </w:pPr>
      <w:r>
        <w:rPr>
          <w:rFonts w:ascii="STIX Math" w:hAnsi="STIX Math" w:eastAsia="STIX Math" w:cs="STIX Math"/>
        </w:rPr>
        <w:t>generated other → coherent relation geometry → metric + curvature → completion rate → action phase and field response.</w:t>
      </w:r>
    </w:p>
    <w:p>
      <w:pPr>
        <w:pStyle w:val="BodyText"/>
      </w:pPr>
      <w:r>
        <w:rPr>
          <w:rFonts w:ascii="Noto Serif" w:hAnsi="Noto Serif" w:eastAsia="Noto Serif" w:cs="Noto Serif"/>
        </w:rPr>
        <w:t>The strongest proposed reduction is</w:t>
      </w:r>
    </w:p>
    <w:p>
      <w:pPr>
        <w:pStyle w:val="DisplayMath"/>
        <w:keepLines/>
        <w:widowControl/>
      </w:pPr>
      <w:r>
        <w:rPr>
          <w:rFonts w:ascii="STIX Math" w:hAnsi="STIX Math" w:eastAsia="STIX Math" w:cs="STIX Math"/>
        </w:rPr>
        <w:t>one completion–curvature duality  ⇒  {quantum probability, quantum action, Yang–Mills kinetics, gravitational curvature}.</w:t>
      </w:r>
    </w:p>
    <w:p>
      <w:pPr>
        <w:pStyle w:val="BodyText"/>
      </w:pPr>
      <w:r>
        <w:rPr>
          <w:rFonts w:ascii="Noto Serif" w:hAnsi="Noto Serif" w:eastAsia="Noto Serif" w:cs="Noto Serif"/>
        </w:rPr>
        <w:t>The individual mathematical ingredients are established. The proposed breakthrough is their dependency reversal. Physical theories usually begin with a state geometry, a quantum phase, a gauge action, and a gravitational action as separate structures. The relational cell asks whether autonomous completion forces all four.</w:t>
      </w:r>
    </w:p>
    <w:p>
      <w:pPr>
        <w:pStyle w:val="BodyText"/>
      </w:pPr>
      <w:r>
        <w:rPr>
          <w:rFonts w:ascii="Noto Serif" w:hAnsi="Noto Serif" w:eastAsia="Noto Serif" w:cs="Noto Serif"/>
        </w:rPr>
        <w:t>This is not yet the final Lagrangian of nature. It is a sharply constrained action programme with exact local identities, exact refinement laws, direct failure tests, and one clear route from relational objecthood to the assumption structure of fundamental physics.</w:t>
      </w:r>
    </w:p>
    <w:p>
      <w:pPr>
        <w:pStyle w:val="Heading1"/>
        <w:keepNext/>
      </w:pPr>
      <w:r>
        <w:rPr>
          <w:rFonts w:ascii="Carlito" w:hAnsi="Carlito" w:eastAsia="Carlito" w:cs="Carlito"/>
        </w:rPr>
        <w:t>References</w:t>
      </w:r>
    </w:p>
    <w:p>
      <w:pPr>
        <w:pStyle w:val="BodyText"/>
      </w:pPr>
      <w:r>
        <w:rPr>
          <w:rFonts w:ascii="Noto Serif" w:hAnsi="Noto Serif" w:eastAsia="Noto Serif" w:cs="Noto Serif"/>
        </w:rPr>
        <w:t>[1] S. Pancharatnam, “Generalized Theory of Interference, and Its Applications,” Proceedings of the Indian Academy of Sciences A 44, 247–262 (1956).</w:t>
      </w:r>
    </w:p>
    <w:p>
      <w:pPr>
        <w:pStyle w:val="BodyText"/>
      </w:pPr>
      <w:r>
        <w:rPr>
          <w:rFonts w:ascii="Noto Serif" w:hAnsi="Noto Serif" w:eastAsia="Noto Serif" w:cs="Noto Serif"/>
        </w:rPr>
        <w:t>[2] J. P. Provost and G. Vallée, “Riemannian Structure on Manifolds of Quantum States,” Communications in Mathematical Physics 76, 289–301 (1980). doi:10.1007/BF02193559.</w:t>
      </w:r>
    </w:p>
    <w:p>
      <w:pPr>
        <w:pStyle w:val="BodyText"/>
      </w:pPr>
      <w:r>
        <w:rPr>
          <w:rFonts w:ascii="Noto Serif" w:hAnsi="Noto Serif" w:eastAsia="Noto Serif" w:cs="Noto Serif"/>
        </w:rPr>
        <w:t>[3] M. V. Berry, “Quantal Phase Factors Accompanying Adiabatic Changes,” Proceedings of the Royal Society A 392, 45–57 (1984). doi:10.1098/rspa.1984.0023.</w:t>
      </w:r>
    </w:p>
    <w:p>
      <w:pPr>
        <w:pStyle w:val="BodyText"/>
      </w:pPr>
      <w:r>
        <w:rPr>
          <w:rFonts w:ascii="Noto Serif" w:hAnsi="Noto Serif" w:eastAsia="Noto Serif" w:cs="Noto Serif"/>
        </w:rPr>
        <w:t>[4] R. P. Feynman, “Space-Time Approach to Non-Relativistic Quantum Mechanics,” Reviews of Modern Physics 20, 367–387 (1948). doi:10.1103/RevModPhys.20.367.</w:t>
      </w:r>
    </w:p>
    <w:p>
      <w:pPr>
        <w:pStyle w:val="BodyText"/>
      </w:pPr>
      <w:r>
        <w:rPr>
          <w:rFonts w:ascii="Noto Serif" w:hAnsi="Noto Serif" w:eastAsia="Noto Serif" w:cs="Noto Serif"/>
        </w:rPr>
        <w:t>[5] A. A. Migdal, “Recursion Equations in Gauge Field Theories,” Soviet Physics JETP 42, 413–418 (1975).</w:t>
      </w:r>
    </w:p>
    <w:p>
      <w:pPr>
        <w:pStyle w:val="BodyText"/>
      </w:pPr>
      <w:r>
        <w:rPr>
          <w:rFonts w:ascii="Noto Serif" w:hAnsi="Noto Serif" w:eastAsia="Noto Serif" w:cs="Noto Serif"/>
        </w:rPr>
        <w:t>[6] K. G. Wilson, “Confinement of Quarks,” Physical Review D 10, 2445–2459 (1974). doi:10.1103/PhysRevD.10.2445.</w:t>
      </w:r>
    </w:p>
    <w:p>
      <w:pPr>
        <w:pStyle w:val="BodyText"/>
      </w:pPr>
      <w:r>
        <w:rPr>
          <w:rFonts w:ascii="Noto Serif" w:hAnsi="Noto Serif" w:eastAsia="Noto Serif" w:cs="Noto Serif"/>
        </w:rPr>
        <w:t>[7] J. Kogut and L. Susskind, “Hamiltonian Formulation of Wilson’s Lattice Gauge Theories,” Physical Review D 11, 395–408 (1975). doi:10.1103/PhysRevD.11.395.</w:t>
      </w:r>
    </w:p>
    <w:p>
      <w:pPr>
        <w:pStyle w:val="BodyText"/>
      </w:pPr>
      <w:r>
        <w:rPr>
          <w:rFonts w:ascii="Noto Serif" w:hAnsi="Noto Serif" w:eastAsia="Noto Serif" w:cs="Noto Serif"/>
        </w:rPr>
        <w:t>[8] J. F. Plebański, “On the Separation of Einsteinian Substructures,” Journal of Mathematical Physics 18, 2511–2520 (1977). doi:10.1063/1.523215.</w:t>
      </w:r>
    </w:p>
    <w:p>
      <w:pPr>
        <w:pStyle w:val="BodyText"/>
      </w:pPr>
      <w:r>
        <w:rPr>
          <w:rFonts w:ascii="Noto Serif" w:hAnsi="Noto Serif" w:eastAsia="Noto Serif" w:cs="Noto Serif"/>
        </w:rPr>
        <w:t>[9] S. W. MacDowell and F. Mansouri, “Unified Geometric Theory of Gravity and Supergravity,” Physical Review Letters 38, 739–742 (1977). doi:10.1103/PhysRevLett.38.739.</w:t>
      </w:r>
    </w:p>
    <w:p>
      <w:pPr>
        <w:pStyle w:val="BodyText"/>
      </w:pPr>
      <w:r>
        <w:rPr>
          <w:rFonts w:ascii="Noto Serif" w:hAnsi="Noto Serif" w:eastAsia="Noto Serif" w:cs="Noto Serif"/>
        </w:rPr>
        <w:t>[10] T. Regge, “General Relativity without Coordinates,” Il Nuovo Cimento 19, 558–571 (1961). doi:10.1007/BF02733251.</w:t>
      </w:r>
    </w:p>
    <w:p>
      <w:pPr>
        <w:pStyle w:val="BodyText"/>
      </w:pPr>
      <w:r>
        <w:rPr>
          <w:rFonts w:ascii="Noto Serif" w:hAnsi="Noto Serif" w:eastAsia="Noto Serif" w:cs="Noto Serif"/>
        </w:rPr>
        <w:t>[11] A. H. Chamseddine and A. Connes, “The Spectral Action Principle,” Communications in Mathematical Physics 186, 731–750 (1997). arXiv:hep-th/9606001.</w:t>
      </w:r>
    </w:p>
    <w:p>
      <w:pPr>
        <w:pStyle w:val="BodyText"/>
      </w:pPr>
      <w:r>
        <w:rPr>
          <w:rFonts w:ascii="Noto Serif" w:hAnsi="Noto Serif" w:eastAsia="Noto Serif" w:cs="Noto Serif"/>
        </w:rPr>
        <w:t>[12] T. Jacobson, “Thermodynamics of Spacetime: The Einstein Equation of State,” Physical Review Letters 75, 1260–1263 (1995). doi:10.1103/PhysRevLett.75.1260.</w:t>
      </w:r>
    </w:p>
    <w:p>
      <w:pPr>
        <w:pStyle w:val="BodyText"/>
      </w:pPr>
      <w:r>
        <w:rPr>
          <w:rFonts w:ascii="Noto Serif" w:hAnsi="Noto Serif" w:eastAsia="Noto Serif" w:cs="Noto Serif"/>
        </w:rPr>
        <w:t>[13] M. V. Berry, “The Quantum Phase, Five Years After,” in Geometric Phases in Physics, edited by A. Shapere and F. Wilczek, World Scientific (1989).</w:t>
      </w:r>
    </w:p>
    <w:p>
      <w:pPr>
        <w:pStyle w:val="BodyText"/>
      </w:pPr>
      <w:r>
        <w:rPr>
          <w:rFonts w:ascii="Noto Serif" w:hAnsi="Noto Serif" w:eastAsia="Noto Serif" w:cs="Noto Serif"/>
        </w:rPr>
        <w:t>[14] J. W. Barrett and L. Crane, “Relativistic Spin Networks and Quantum Gravity,” Journal of Mathematical Physics 39, 3296–3302 (1998). doi:10.1063/1.532254.</w:t>
      </w:r>
    </w:p>
    <w:sectPr>
      <w:footerReference r:id="rId9" w:type="default"/>
      <w:footerReference w:type="first" r:id="rId10"/>
      <w:footerReference w:type="even" r:id="rId11"/>
      <w:pgSz w:h="16838" w:w="11905"/>
      <w:pgMar w:bottom="979" w:footer="432" w:gutter="0" w:header="360" w:left="1181" w:right="1181" w:top="1037"/>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766"/>
      <w:gridCol w:w="4766"/>
    </w:tblGrid>
    <w:tr>
      <w:tc>
        <w:tcPr>
          <w:tcW w:type="dxa" w:w="7776"/>
          <w:vAlign w:val="center"/>
          <w:tcBorders>
            <w:top w:val="nil"/>
            <w:left w:val="nil"/>
            <w:bottom w:val="nil"/>
            <w:right w:val="nil"/>
            <w:insideH w:val="nil"/>
            <w:insideV w:val="nil"/>
          </w:tcBorders>
        </w:tcPr>
        <w:p>
          <w:pPr>
            <w:jc w:val="left"/>
          </w:pPr>
          <w:r>
            <w:t>The Relational Cell  |  Working paper v0.15</w:t>
          </w:r>
        </w:p>
      </w:tc>
      <w:tc>
        <w:tcPr>
          <w:tcW w:type="dxa" w:w="1757"/>
          <w:vAlign w:val="center"/>
          <w:tcBorders>
            <w:top w:val="nil"/>
            <w:left w:val="nil"/>
            <w:bottom w:val="nil"/>
            <w:right w:val="nil"/>
            <w:insideH w:val="nil"/>
            <w:insideV w:val="nil"/>
          </w:tcBorders>
        </w:tcPr>
        <w:p>
          <w:pPr>
            <w:jc w:val="right"/>
          </w:pPr>
          <w:fldSimple w:instr="PAGE">
            <w:r>
              <w:rPr>
                <w:sz w:val="18"/>
              </w:rPr>
              <w:t>1</w:t>
            </w:r>
          </w:fldSimple>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widowControl/>
      <w:spacing w:after="90" w:before="0" w:line="259" w:lineRule="auto"/>
    </w:pPr>
    <w:rPr>
      <w:rFonts w:ascii="Noto Serif" w:cs="Noto Serif" w:eastAsia="Noto Serif" w:hAnsi="Noto Serif"/>
      <w:color w:val="141414"/>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widowControl/>
      <w:spacing w:after="100" w:before="240" w:line="240" w:lineRule="auto"/>
      <w:outlineLvl w:val="0"/>
    </w:pPr>
    <w:rPr>
      <w:rFonts w:ascii="Carlito" w:asciiTheme="majorHAnsi" w:cs="Carlito" w:cstheme="majorBidi" w:eastAsia="Carlito" w:eastAsiaTheme="majorEastAsia" w:hAnsi="Carlito" w:hAnsiTheme="majorHAnsi"/>
      <w:b/>
      <w:bCs/>
      <w:color w:val="245285"/>
      <w:sz w:val="30"/>
      <w:szCs w:val="28"/>
    </w:rPr>
  </w:style>
  <w:style w:styleId="Heading2" w:type="paragraph">
    <w:name w:val="heading 2"/>
    <w:basedOn w:val="Normal"/>
    <w:next w:val="Normal"/>
    <w:link w:val="Heading2Char"/>
    <w:uiPriority w:val="9"/>
    <w:unhideWhenUsed/>
    <w:qFormat/>
    <w:rsid w:val="00FC693F"/>
    <w:pPr>
      <w:keepNext/>
      <w:keepLines/>
      <w:widowControl/>
      <w:spacing w:after="60" w:before="180" w:line="240" w:lineRule="auto"/>
      <w:outlineLvl w:val="1"/>
    </w:pPr>
    <w:rPr>
      <w:rFonts w:ascii="Carlito" w:asciiTheme="majorHAnsi" w:cs="Carlito" w:cstheme="majorBidi" w:eastAsia="Carlito" w:eastAsiaTheme="majorEastAsia" w:hAnsi="Carlito" w:hAnsiTheme="majorHAnsi"/>
      <w:b/>
      <w:bCs/>
      <w:color w:val="245285"/>
      <w:sz w:val="24"/>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widowControl/>
      <w:pBdr>
        <w:bottom w:color="4F81BD" w:space="4" w:sz="8" w:themeColor="accent1" w:val="single"/>
      </w:pBdr>
      <w:spacing w:after="120" w:before="60" w:line="240" w:lineRule="auto"/>
      <w:contextualSpacing/>
      <w:jc w:val="center"/>
    </w:pPr>
    <w:rPr>
      <w:rFonts w:ascii="Carlito" w:asciiTheme="majorHAnsi" w:cs="Carlito" w:cstheme="majorBidi" w:eastAsia="Carlito" w:eastAsiaTheme="majorEastAsia" w:hAnsi="Carlito" w:hAnsiTheme="majorHAnsi"/>
      <w:b w:val="0"/>
      <w:color w:val="19375C"/>
      <w:spacing w:val="5"/>
      <w:kern w:val="28"/>
      <w:sz w:val="51"/>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keepNext/>
      <w:widowControl/>
      <w:numPr>
        <w:ilvl w:val="1"/>
      </w:numPr>
      <w:spacing w:after="260" w:before="0" w:line="240" w:lineRule="auto"/>
      <w:jc w:val="center"/>
    </w:pPr>
    <w:rPr>
      <w:rFonts w:ascii="Carlito" w:asciiTheme="majorHAnsi" w:cs="Carlito" w:cstheme="majorBidi" w:eastAsia="Carlito" w:eastAsiaTheme="majorEastAsia" w:hAnsi="Carlito" w:hAnsiTheme="majorHAnsi"/>
      <w:i/>
      <w:iCs/>
      <w:color w:val="3069B0"/>
      <w:spacing w:val="15"/>
      <w:sz w:val="25"/>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widowControl/>
      <w:spacing w:after="90" w:before="0" w:line="259" w:lineRule="auto"/>
    </w:pPr>
    <w:rPr>
      <w:rFonts w:ascii="Noto Serif" w:cs="Noto Serif" w:eastAsia="Noto Serif" w:hAnsi="Noto Serif"/>
      <w:color w:val="141414"/>
      <w:sz w:val="20"/>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FirstParagraph" w:type="paragraph">
    <w:name w:val="First Paragraph"/>
    <w:pPr>
      <w:widowControl/>
      <w:spacing w:after="90" w:before="0" w:line="259" w:lineRule="auto"/>
    </w:pPr>
    <w:rPr>
      <w:rFonts w:ascii="Noto Serif" w:cs="Noto Serif" w:eastAsia="Noto Serif" w:hAnsi="Noto Serif"/>
      <w:color w:val="141414"/>
      <w:sz w:val="20"/>
    </w:rPr>
  </w:style>
  <w:style w:customStyle="1" w:styleId="Compact" w:type="paragraph">
    <w:name w:val="Compact"/>
    <w:pPr>
      <w:widowControl/>
      <w:spacing w:after="90" w:before="0" w:line="259" w:lineRule="auto"/>
    </w:pPr>
    <w:rPr>
      <w:rFonts w:ascii="Noto Serif" w:cs="Noto Serif" w:eastAsia="Noto Serif" w:hAnsi="Noto Serif"/>
      <w:color w:val="141414"/>
      <w:sz w:val="20"/>
    </w:rPr>
  </w:style>
  <w:style w:customStyle="1" w:styleId="Date" w:type="paragraph">
    <w:name w:val="Date"/>
    <w:pPr>
      <w:keepNext/>
      <w:widowControl/>
      <w:spacing w:after="300" w:before="0" w:line="240" w:lineRule="auto"/>
      <w:jc w:val="left"/>
    </w:pPr>
    <w:rPr>
      <w:rFonts w:ascii="Noto Serif" w:cs="Noto Serif" w:eastAsia="Noto Serif" w:hAnsi="Noto Serif"/>
      <w:color w:val="1E1E1E"/>
      <w:sz w:val="19"/>
    </w:rPr>
  </w:style>
  <w:style w:customStyle="1" w:styleId="DisplayMath" w:type="paragraph">
    <w:name w:val="Display Math"/>
    <w:pPr>
      <w:keepLines/>
      <w:widowControl/>
      <w:spacing w:after="90" w:before="50" w:line="240" w:lineRule="auto"/>
      <w:jc w:val="center"/>
    </w:pPr>
    <w:rPr>
      <w:rFonts w:ascii="STIX Math" w:cs="STIX Math" w:eastAsia="STIX Math" w:hAnsi="STIX Math"/>
      <w:color w:val="000000"/>
      <w:sz w:val="21"/>
    </w:rPr>
  </w:style>
  <w:style w:customStyle="1" w:styleId="SourceCode" w:type="paragraph">
    <w:name w:val="Source Code"/>
    <w:rPr>
      <w:rFonts w:ascii="Liberation Mono" w:cs="Liberation Mono" w:eastAsia="Liberation Mono" w:hAnsi="Liberation Mono"/>
      <w:color w:val="1E1E1E"/>
      <w:sz w:val="17"/>
    </w:rPr>
  </w:style>
  <w:style w:customStyle="1" w:styleId="VerbatimChar" w:type="character">
    <w:name w:val="Verbatim Char"/>
    <w:rPr>
      <w:rFonts w:ascii="Liberation Mono" w:cs="Liberation Mono" w:eastAsia="Liberation Mono" w:hAnsi="Liberation Mono"/>
      <w:color w:val="1E1E1E"/>
      <w:sz w:val="17"/>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Relational Cell — Working Paper v0.15</dc:title>
  <dc:creator/>
  <cp:keywords>relational cell, antipodal joining, Bell, Tsirelson, SU(2), gauge theory, quantum foundations</cp:keywords>
  <dcterms:created xsi:type="dcterms:W3CDTF">2026-08-16T09:36:44Z</dcterms:created>
  <dcterms:modified xsi:type="dcterms:W3CDTF">2026-08-16T09:36:44Z</dcterms:modified>
  <dc:subject>Action from completion: quantum geometry, refinement, and the gauge–gravity parent</dc:subject>
  <dc:description>Working draft. August 2026.</dc:description>
  <cp:lastModifiedBy/>
</cp:coreProperties>
</file>